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36" w:rsidRPr="00A26D36" w:rsidRDefault="005A34CB" w:rsidP="005A34CB">
      <w:pPr>
        <w:autoSpaceDE w:val="0"/>
        <w:autoSpaceDN w:val="0"/>
        <w:adjustRightInd w:val="0"/>
        <w:ind w:firstLine="0"/>
        <w:rPr>
          <w:rFonts w:ascii="Arial" w:hAnsi="Arial" w:cs="Arial"/>
          <w:color w:val="000000"/>
          <w:lang w:val="pl-PL"/>
        </w:rPr>
      </w:pPr>
      <w:bookmarkStart w:id="0" w:name="_GoBack"/>
      <w:r w:rsidRPr="005A34CB">
        <w:rPr>
          <w:rFonts w:ascii="Arial" w:hAnsi="Arial" w:cs="Arial"/>
          <w:iCs/>
          <w:lang w:val="pl-PL" w:eastAsia="pl-PL"/>
        </w:rPr>
        <w:t>IFRZ</w:t>
      </w:r>
      <w:r w:rsidR="00D32B5C" w:rsidRPr="005A34CB">
        <w:rPr>
          <w:rFonts w:ascii="Arial" w:hAnsi="Arial" w:cs="Arial"/>
          <w:iCs/>
          <w:lang w:val="pl-PL" w:eastAsia="pl-PL"/>
        </w:rPr>
        <w:t>.271.</w:t>
      </w:r>
      <w:r w:rsidRPr="005A34CB">
        <w:rPr>
          <w:rFonts w:ascii="Arial" w:hAnsi="Arial" w:cs="Arial"/>
          <w:iCs/>
          <w:lang w:val="pl-PL" w:eastAsia="pl-PL"/>
        </w:rPr>
        <w:t>5</w:t>
      </w:r>
      <w:r w:rsidR="00D32B5C" w:rsidRPr="005A34CB">
        <w:rPr>
          <w:rFonts w:ascii="Arial" w:hAnsi="Arial" w:cs="Arial"/>
          <w:iCs/>
          <w:lang w:val="pl-PL" w:eastAsia="pl-PL"/>
        </w:rPr>
        <w:t>.</w:t>
      </w:r>
      <w:r w:rsidRPr="005A34CB">
        <w:rPr>
          <w:rFonts w:ascii="Arial" w:hAnsi="Arial" w:cs="Arial"/>
          <w:iCs/>
          <w:lang w:val="pl-PL" w:eastAsia="pl-PL"/>
        </w:rPr>
        <w:t>30000.2022</w:t>
      </w:r>
      <w:r w:rsidRPr="005A34CB">
        <w:rPr>
          <w:rFonts w:ascii="Arial" w:hAnsi="Arial" w:cs="Arial"/>
          <w:iCs/>
          <w:lang w:val="pl-PL" w:eastAsia="pl-PL"/>
        </w:rPr>
        <w:tab/>
      </w:r>
      <w:r w:rsidRPr="005A34CB">
        <w:rPr>
          <w:rFonts w:ascii="Arial" w:hAnsi="Arial" w:cs="Arial"/>
          <w:iCs/>
          <w:lang w:val="pl-PL" w:eastAsia="pl-PL"/>
        </w:rPr>
        <w:tab/>
      </w:r>
      <w:r w:rsidRPr="005A34CB">
        <w:rPr>
          <w:rFonts w:ascii="Arial" w:hAnsi="Arial" w:cs="Arial"/>
          <w:iCs/>
          <w:lang w:val="pl-PL" w:eastAsia="pl-PL"/>
        </w:rPr>
        <w:tab/>
      </w:r>
      <w:r w:rsidRPr="005A34CB">
        <w:rPr>
          <w:rFonts w:ascii="Arial" w:hAnsi="Arial" w:cs="Arial"/>
          <w:iCs/>
          <w:lang w:val="pl-PL" w:eastAsia="pl-PL"/>
        </w:rPr>
        <w:tab/>
      </w:r>
      <w:r w:rsidRPr="005A34CB">
        <w:rPr>
          <w:rFonts w:ascii="Arial" w:hAnsi="Arial" w:cs="Arial"/>
          <w:iCs/>
          <w:lang w:val="pl-PL" w:eastAsia="pl-PL"/>
        </w:rPr>
        <w:tab/>
      </w:r>
      <w:r w:rsidR="00016D3B" w:rsidRPr="005A34CB">
        <w:rPr>
          <w:rFonts w:ascii="Arial" w:hAnsi="Arial" w:cs="Arial"/>
          <w:color w:val="000000"/>
          <w:lang w:val="pl-PL"/>
        </w:rPr>
        <w:t>Komarów-Osada, 2</w:t>
      </w:r>
      <w:r w:rsidRPr="005A34CB">
        <w:rPr>
          <w:rFonts w:ascii="Arial" w:hAnsi="Arial" w:cs="Arial"/>
          <w:color w:val="000000"/>
          <w:lang w:val="pl-PL"/>
        </w:rPr>
        <w:t>5</w:t>
      </w:r>
      <w:r w:rsidR="00A26D36" w:rsidRPr="005A34CB">
        <w:rPr>
          <w:rFonts w:ascii="Arial" w:hAnsi="Arial" w:cs="Arial"/>
          <w:color w:val="000000"/>
          <w:lang w:val="pl-PL"/>
        </w:rPr>
        <w:t>.0</w:t>
      </w:r>
      <w:r w:rsidR="00016D3B" w:rsidRPr="005A34CB">
        <w:rPr>
          <w:rFonts w:ascii="Arial" w:hAnsi="Arial" w:cs="Arial"/>
          <w:color w:val="000000"/>
          <w:lang w:val="pl-PL"/>
        </w:rPr>
        <w:t>7</w:t>
      </w:r>
      <w:r w:rsidR="00A26D36" w:rsidRPr="005A34CB">
        <w:rPr>
          <w:rFonts w:ascii="Arial" w:hAnsi="Arial" w:cs="Arial"/>
          <w:color w:val="000000"/>
          <w:lang w:val="pl-PL"/>
        </w:rPr>
        <w:t>.202</w:t>
      </w:r>
      <w:r w:rsidR="00016D3B" w:rsidRPr="005A34CB">
        <w:rPr>
          <w:rFonts w:ascii="Arial" w:hAnsi="Arial" w:cs="Arial"/>
          <w:color w:val="000000"/>
          <w:lang w:val="pl-PL"/>
        </w:rPr>
        <w:t>2</w:t>
      </w:r>
      <w:r w:rsidR="00A26D36" w:rsidRPr="005A34CB">
        <w:rPr>
          <w:rFonts w:ascii="Arial" w:hAnsi="Arial" w:cs="Arial"/>
          <w:color w:val="000000"/>
          <w:lang w:val="pl-PL"/>
        </w:rPr>
        <w:t xml:space="preserve"> r.</w:t>
      </w:r>
    </w:p>
    <w:p w:rsidR="00041B49" w:rsidRDefault="00041B49" w:rsidP="00A26D36">
      <w:pPr>
        <w:spacing w:line="276" w:lineRule="auto"/>
        <w:ind w:firstLine="0"/>
        <w:jc w:val="center"/>
        <w:rPr>
          <w:rFonts w:ascii="Arial" w:hAnsi="Arial" w:cs="Arial"/>
          <w:b/>
          <w:bCs/>
          <w:color w:val="000000"/>
          <w:lang w:val="pl-PL"/>
        </w:rPr>
      </w:pPr>
    </w:p>
    <w:p w:rsidR="00A26D36" w:rsidRPr="00A26D36" w:rsidRDefault="00A26D36" w:rsidP="00A26D36">
      <w:pPr>
        <w:spacing w:line="276" w:lineRule="auto"/>
        <w:ind w:firstLine="0"/>
        <w:jc w:val="center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 xml:space="preserve">ZAPYTANIE OFERTOWE </w:t>
      </w:r>
    </w:p>
    <w:p w:rsidR="00A27928" w:rsidRDefault="008830A9" w:rsidP="00A27928">
      <w:pPr>
        <w:spacing w:line="276" w:lineRule="auto"/>
        <w:ind w:firstLine="0"/>
        <w:jc w:val="center"/>
        <w:rPr>
          <w:rFonts w:ascii="Arial" w:hAnsi="Arial" w:cs="Arial"/>
          <w:b/>
          <w:bCs/>
          <w:i/>
          <w:color w:val="000000"/>
          <w:lang w:val="pl-PL"/>
        </w:rPr>
      </w:pPr>
      <w:r w:rsidRPr="008830A9">
        <w:rPr>
          <w:rFonts w:ascii="Arial" w:hAnsi="Arial" w:cs="Arial"/>
          <w:b/>
          <w:bCs/>
          <w:i/>
          <w:color w:val="000000"/>
          <w:lang w:val="pl-PL"/>
        </w:rPr>
        <w:t>Budowa i przebudowa niekomercyjnej infrastruktury</w:t>
      </w:r>
    </w:p>
    <w:p w:rsidR="00A26D36" w:rsidRPr="00A26D36" w:rsidRDefault="008830A9" w:rsidP="00A27928">
      <w:pPr>
        <w:spacing w:line="276" w:lineRule="auto"/>
        <w:ind w:firstLine="0"/>
        <w:jc w:val="center"/>
        <w:rPr>
          <w:rFonts w:ascii="Arial" w:hAnsi="Arial" w:cs="Arial"/>
          <w:b/>
          <w:bCs/>
          <w:color w:val="000000"/>
          <w:lang w:val="pl-PL"/>
        </w:rPr>
      </w:pPr>
      <w:r w:rsidRPr="008830A9">
        <w:rPr>
          <w:rFonts w:ascii="Arial" w:hAnsi="Arial" w:cs="Arial"/>
          <w:b/>
          <w:bCs/>
          <w:i/>
          <w:color w:val="000000"/>
          <w:lang w:val="pl-PL"/>
        </w:rPr>
        <w:t xml:space="preserve">turystycznej i rekreacyjnej w miejscowości </w:t>
      </w:r>
      <w:r w:rsidR="00016D3B">
        <w:rPr>
          <w:rFonts w:ascii="Arial" w:hAnsi="Arial" w:cs="Arial"/>
          <w:b/>
          <w:bCs/>
          <w:i/>
          <w:color w:val="000000"/>
          <w:lang w:val="pl-PL"/>
        </w:rPr>
        <w:t>Komarów-Osada</w:t>
      </w:r>
    </w:p>
    <w:p w:rsidR="00A26D36" w:rsidRPr="00A27928" w:rsidRDefault="00A26D36" w:rsidP="00A27928">
      <w:pPr>
        <w:spacing w:line="276" w:lineRule="auto"/>
        <w:ind w:firstLine="0"/>
        <w:jc w:val="center"/>
        <w:rPr>
          <w:rFonts w:ascii="Arial" w:hAnsi="Arial" w:cs="Arial"/>
          <w:color w:val="000000"/>
          <w:lang w:val="pl-PL"/>
        </w:rPr>
      </w:pPr>
      <w:r w:rsidRPr="00A27928">
        <w:rPr>
          <w:rFonts w:ascii="Arial" w:hAnsi="Arial" w:cs="Arial"/>
          <w:color w:val="000000"/>
          <w:lang w:val="pl-PL"/>
        </w:rPr>
        <w:t xml:space="preserve">(postępowanie prowadzone jest </w:t>
      </w:r>
      <w:r w:rsidR="008830A9" w:rsidRPr="00A27928">
        <w:rPr>
          <w:rFonts w:ascii="Arial" w:hAnsi="Arial" w:cs="Arial"/>
          <w:color w:val="000000"/>
          <w:lang w:val="pl-PL"/>
        </w:rPr>
        <w:t>zgodnie z zasa</w:t>
      </w:r>
      <w:r w:rsidR="00D433F1">
        <w:rPr>
          <w:rFonts w:ascii="Arial" w:hAnsi="Arial" w:cs="Arial"/>
          <w:color w:val="000000"/>
          <w:lang w:val="pl-PL"/>
        </w:rPr>
        <w:t>dą rozeznania rynku określoną w </w:t>
      </w:r>
      <w:r w:rsidR="008830A9" w:rsidRPr="00A27928">
        <w:rPr>
          <w:rFonts w:ascii="Arial" w:hAnsi="Arial" w:cs="Arial"/>
          <w:color w:val="000000"/>
          <w:lang w:val="pl-PL"/>
        </w:rPr>
        <w:t>wytycznych w zakresie kwalifikowalności wydatków w ramach Europejskiego Funduszu Rozwoju Regionalnego, Europejskiego Funduszu Społecz</w:t>
      </w:r>
      <w:r w:rsidR="00D433F1">
        <w:rPr>
          <w:rFonts w:ascii="Arial" w:hAnsi="Arial" w:cs="Arial"/>
          <w:color w:val="000000"/>
          <w:lang w:val="pl-PL"/>
        </w:rPr>
        <w:t>nego oraz Funduszu Spójności na </w:t>
      </w:r>
      <w:r w:rsidR="008830A9" w:rsidRPr="00A27928">
        <w:rPr>
          <w:rFonts w:ascii="Arial" w:hAnsi="Arial" w:cs="Arial"/>
          <w:color w:val="000000"/>
          <w:lang w:val="pl-PL"/>
        </w:rPr>
        <w:t>lata 2014-2020</w:t>
      </w:r>
    </w:p>
    <w:p w:rsidR="008830A9" w:rsidRPr="00A26D36" w:rsidRDefault="008830A9" w:rsidP="008830A9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I. Zamawiający</w:t>
      </w:r>
    </w:p>
    <w:p w:rsidR="00A26D36" w:rsidRPr="00A26D36" w:rsidRDefault="008830A9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Gmina Komarów-Osada, ul. Rynek 15, 22-435 Komarów-Osada</w:t>
      </w:r>
      <w:r w:rsidR="00A26D36" w:rsidRPr="00A26D36">
        <w:rPr>
          <w:rFonts w:ascii="Arial" w:hAnsi="Arial" w:cs="Arial"/>
          <w:color w:val="000000"/>
          <w:lang w:val="pl-PL"/>
        </w:rPr>
        <w:t>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II.</w:t>
      </w:r>
      <w:r w:rsidR="008830A9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A26D36">
        <w:rPr>
          <w:rFonts w:ascii="Arial" w:hAnsi="Arial" w:cs="Arial"/>
          <w:b/>
          <w:bCs/>
          <w:color w:val="000000"/>
          <w:lang w:val="pl-PL"/>
        </w:rPr>
        <w:t>Opis przedmiotu zamówienia</w:t>
      </w:r>
    </w:p>
    <w:p w:rsidR="00A26D36" w:rsidRPr="00A26D36" w:rsidRDefault="008830A9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8830A9">
        <w:rPr>
          <w:rFonts w:ascii="Arial" w:hAnsi="Arial" w:cs="Arial"/>
          <w:color w:val="000000"/>
          <w:lang w:val="pl-PL"/>
        </w:rPr>
        <w:t xml:space="preserve">Przedmiotem zamówienia jest </w:t>
      </w:r>
      <w:r w:rsidRPr="008830A9">
        <w:rPr>
          <w:rFonts w:ascii="Arial" w:hAnsi="Arial" w:cs="Arial"/>
          <w:i/>
          <w:color w:val="000000"/>
          <w:lang w:val="pl-PL"/>
        </w:rPr>
        <w:t xml:space="preserve">Budowa i przebudowa niekomercyjnej infrastruktury turystycznej i rekreacyjnej w miejscowości </w:t>
      </w:r>
      <w:r w:rsidR="005A34CB">
        <w:rPr>
          <w:rFonts w:ascii="Arial" w:hAnsi="Arial" w:cs="Arial"/>
          <w:i/>
          <w:color w:val="000000"/>
          <w:lang w:val="pl-PL"/>
        </w:rPr>
        <w:t>Komarów-Osada</w:t>
      </w:r>
      <w:r w:rsidR="00A26D36" w:rsidRPr="00A26D36">
        <w:rPr>
          <w:rFonts w:ascii="Arial" w:hAnsi="Arial" w:cs="Arial"/>
          <w:color w:val="000000"/>
          <w:lang w:val="pl-PL"/>
        </w:rPr>
        <w:t>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Szczegółowy opis przedmiotu zamówienia zawiera Załącznik nr 1 do Zapytania ofertowego oraz</w:t>
      </w:r>
      <w:r w:rsidR="00184586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 xml:space="preserve">przedmiar robót </w:t>
      </w:r>
      <w:r w:rsidR="00184586">
        <w:rPr>
          <w:rFonts w:ascii="Arial" w:hAnsi="Arial" w:cs="Arial"/>
          <w:color w:val="000000"/>
          <w:lang w:val="pl-PL"/>
        </w:rPr>
        <w:t xml:space="preserve">i dokumentacja projektowa </w:t>
      </w:r>
      <w:r w:rsidRPr="00A26D36">
        <w:rPr>
          <w:rFonts w:ascii="Arial" w:hAnsi="Arial" w:cs="Arial"/>
          <w:color w:val="000000"/>
          <w:lang w:val="pl-PL"/>
        </w:rPr>
        <w:t>stanowiąc</w:t>
      </w:r>
      <w:r w:rsidR="00184586">
        <w:rPr>
          <w:rFonts w:ascii="Arial" w:hAnsi="Arial" w:cs="Arial"/>
          <w:color w:val="000000"/>
          <w:lang w:val="pl-PL"/>
        </w:rPr>
        <w:t>e</w:t>
      </w:r>
      <w:r w:rsidRPr="00A26D36">
        <w:rPr>
          <w:rFonts w:ascii="Arial" w:hAnsi="Arial" w:cs="Arial"/>
          <w:color w:val="000000"/>
          <w:lang w:val="pl-PL"/>
        </w:rPr>
        <w:t xml:space="preserve"> załącznik nr 3 do Zapytania ofertowego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Kod CPV:</w:t>
      </w:r>
    </w:p>
    <w:p w:rsidR="00184586" w:rsidRPr="00184586" w:rsidRDefault="00184586" w:rsidP="0018458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184586">
        <w:rPr>
          <w:rFonts w:ascii="Arial" w:hAnsi="Arial" w:cs="Arial"/>
          <w:color w:val="000000"/>
          <w:lang w:val="pl-PL"/>
        </w:rPr>
        <w:t>45000000-7 – roboty budowlane</w:t>
      </w:r>
    </w:p>
    <w:p w:rsidR="00184586" w:rsidRPr="00D433F1" w:rsidRDefault="00184586" w:rsidP="0018458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433F1">
        <w:rPr>
          <w:rFonts w:ascii="Arial" w:hAnsi="Arial" w:cs="Arial"/>
          <w:color w:val="000000"/>
          <w:lang w:val="pl-PL"/>
        </w:rPr>
        <w:t>45211320-8 - roboty budowlane w zakresie altan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III. Termin i inne warunki realizacji zamówienia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 xml:space="preserve">Termin wykonania zamówienia: </w:t>
      </w:r>
      <w:r w:rsidR="00184586">
        <w:rPr>
          <w:rFonts w:ascii="Arial" w:hAnsi="Arial" w:cs="Arial"/>
          <w:color w:val="000000"/>
          <w:lang w:val="pl-PL"/>
        </w:rPr>
        <w:t>maks. 100</w:t>
      </w:r>
      <w:r w:rsidRPr="00A26D36">
        <w:rPr>
          <w:rFonts w:ascii="Arial" w:hAnsi="Arial" w:cs="Arial"/>
          <w:color w:val="000000"/>
          <w:lang w:val="pl-PL"/>
        </w:rPr>
        <w:t xml:space="preserve"> dni od dnia podpisania Umowy.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IV. Informacja o możliwości składania ofert częściowych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Zamawiający nie dopuszcza możliwości składania ofert częściowych.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V.</w:t>
      </w:r>
      <w:r w:rsidR="00184586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A26D36">
        <w:rPr>
          <w:rFonts w:ascii="Arial" w:hAnsi="Arial" w:cs="Arial"/>
          <w:b/>
          <w:bCs/>
          <w:color w:val="000000"/>
          <w:lang w:val="pl-PL"/>
        </w:rPr>
        <w:t>Warunki udziału w postępowaniu o udzielenie zamówienia publicznego oraz opis sposobu</w:t>
      </w:r>
      <w:r w:rsidR="00184586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A26D36">
        <w:rPr>
          <w:rFonts w:ascii="Arial" w:hAnsi="Arial" w:cs="Arial"/>
          <w:b/>
          <w:bCs/>
          <w:color w:val="000000"/>
          <w:lang w:val="pl-PL"/>
        </w:rPr>
        <w:t>dokonywania oceny ich spełniania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Zamawiający nie stawia szczegółowych warunków udziału.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VI. Kryteria oceny oferty wraz z informacją o wagach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>Zamawiający udzieli zamówienia wykonawcy, którego oferta odpowiada zasadom określonym w </w:t>
      </w:r>
      <w:r>
        <w:rPr>
          <w:rFonts w:ascii="Arial" w:hAnsi="Arial" w:cs="Arial"/>
          <w:color w:val="000000"/>
          <w:lang w:val="pl-PL"/>
        </w:rPr>
        <w:t>niniejszym zapytaniu</w:t>
      </w:r>
      <w:r w:rsidRPr="00D76733">
        <w:rPr>
          <w:rFonts w:ascii="Arial" w:hAnsi="Arial" w:cs="Arial"/>
          <w:color w:val="000000"/>
          <w:lang w:val="pl-PL"/>
        </w:rPr>
        <w:t xml:space="preserve"> i została uznana za najkorzystniejszą (uzyska największą liczbę punktów przyznanych według kryteriów wyboru oferty).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>Zamawiający wyznaczył następujące kryteria oceny ofert przypisując im odpowiednie wagi punktowe i przyjął, że w zakresie każdego kryterium wyboru oferty najkorzystniejszej 1% wagi kryterium = 1 pkt: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0"/>
        <w:gridCol w:w="1830"/>
        <w:gridCol w:w="2595"/>
      </w:tblGrid>
      <w:tr w:rsidR="00D76733" w:rsidRPr="00D433F1" w:rsidTr="00595037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Kryterium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Znaczenie procentowe kryterium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Maksymalna ilość punktów jaką może otrzymać oferta za dane kryterium</w:t>
            </w:r>
          </w:p>
        </w:tc>
      </w:tr>
      <w:tr w:rsidR="00D76733" w:rsidRPr="00D76733" w:rsidTr="00595037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Cena brutto wykonania zamówienia (C)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60 %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60 punktów</w:t>
            </w:r>
          </w:p>
        </w:tc>
      </w:tr>
      <w:tr w:rsidR="00D76733" w:rsidRPr="00D76733" w:rsidTr="00595037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Wydłużenie okresu gwarancji (G)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20%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20 punktów</w:t>
            </w:r>
          </w:p>
        </w:tc>
      </w:tr>
      <w:tr w:rsidR="00D76733" w:rsidRPr="00D76733" w:rsidTr="00595037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Termin realizacji (T)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20%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20 punktów</w:t>
            </w:r>
          </w:p>
        </w:tc>
      </w:tr>
    </w:tbl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>Za najkorzystniejszą zostanie uznana oferta, która uzyska największą liczbę punktów ze wszystkich kryteriów. Uzyskana liczba punktów w ramach kryterium zaokrąglona będzie do drugiego miejsca po przecinku. Jeżeli trzecia cyfra po przecinku (i/lub następne) jest mniejsza od 5 wynik zostanie zaokrąglony w dół, a jeżeli cyfra jest równa lub większa od 5 wynik zostanie zaokrąglony w górę.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lastRenderedPageBreak/>
        <w:t xml:space="preserve">Każda z ofert otrzyma liczbę punktów jaka wynika ze wzoru: </w:t>
      </w:r>
      <w:proofErr w:type="spellStart"/>
      <w:r w:rsidRPr="00D76733">
        <w:rPr>
          <w:rFonts w:ascii="Arial" w:hAnsi="Arial" w:cs="Arial"/>
          <w:b/>
          <w:bCs/>
          <w:i/>
          <w:iCs/>
          <w:color w:val="000000"/>
          <w:lang w:val="pl-PL"/>
        </w:rPr>
        <w:t>LPi</w:t>
      </w:r>
      <w:proofErr w:type="spellEnd"/>
      <w:r w:rsidRPr="00D76733">
        <w:rPr>
          <w:rFonts w:ascii="Arial" w:hAnsi="Arial" w:cs="Arial"/>
          <w:b/>
          <w:bCs/>
          <w:i/>
          <w:iCs/>
          <w:color w:val="000000"/>
          <w:lang w:val="pl-PL"/>
        </w:rPr>
        <w:t xml:space="preserve"> = Pi(C)+ Pi(G)</w:t>
      </w:r>
      <w:r w:rsidRPr="00D76733">
        <w:rPr>
          <w:rFonts w:ascii="Arial" w:hAnsi="Arial" w:cs="Arial"/>
          <w:color w:val="000000"/>
          <w:lang w:val="pl-PL"/>
        </w:rPr>
        <w:t xml:space="preserve"> </w:t>
      </w:r>
      <w:r w:rsidRPr="00D76733">
        <w:rPr>
          <w:rFonts w:ascii="Arial" w:hAnsi="Arial" w:cs="Arial"/>
          <w:b/>
          <w:bCs/>
          <w:i/>
          <w:iCs/>
          <w:color w:val="000000"/>
          <w:lang w:val="pl-PL"/>
        </w:rPr>
        <w:t xml:space="preserve">)+ Pi(T) </w:t>
      </w:r>
      <w:r w:rsidRPr="00D76733">
        <w:rPr>
          <w:rFonts w:ascii="Arial" w:hAnsi="Arial" w:cs="Arial"/>
          <w:color w:val="000000"/>
          <w:lang w:val="pl-PL"/>
        </w:rPr>
        <w:t>gdzie: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7980"/>
      </w:tblGrid>
      <w:tr w:rsidR="00D76733" w:rsidRPr="00D433F1" w:rsidTr="0059503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proofErr w:type="spellStart"/>
            <w:r w:rsidRPr="00D7673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Lp</w:t>
            </w:r>
            <w:proofErr w:type="spellEnd"/>
            <w:r w:rsidRPr="00D7673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Całkowita liczba punktów przyznanych ofercie</w:t>
            </w:r>
          </w:p>
        </w:tc>
      </w:tr>
      <w:tr w:rsidR="00D76733" w:rsidRPr="00D433F1" w:rsidTr="0059503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 xml:space="preserve">Pi (C)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Ilość punktów, jakie otrzyma oferta badana za kryterium –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br/>
              <w:t>„Cena brutto wykonania zamówienia”</w:t>
            </w:r>
          </w:p>
        </w:tc>
      </w:tr>
      <w:tr w:rsidR="00D76733" w:rsidRPr="00D433F1" w:rsidTr="0059503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 xml:space="preserve">Pi (G)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Ilość punktów, jakie otrzyma oferta badana za kryterium –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br/>
              <w:t>„Wydłużenie okresu gwarancji”</w:t>
            </w:r>
          </w:p>
        </w:tc>
      </w:tr>
      <w:tr w:rsidR="00D76733" w:rsidRPr="00D433F1" w:rsidTr="0059503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 xml:space="preserve">Pi (T)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Ilość punktów, jakie otrzyma oferta badana za kryterium –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br/>
              <w:t>„Termin realizacji”</w:t>
            </w:r>
          </w:p>
        </w:tc>
      </w:tr>
    </w:tbl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Przyznanie ilości punktów ofertom będzie odbywać się wg poniższej zasad: 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Zasady oceny ofert wg kryterium </w:t>
      </w:r>
      <w:r w:rsidRPr="00D76733">
        <w:rPr>
          <w:rFonts w:ascii="Arial" w:hAnsi="Arial" w:cs="Arial"/>
          <w:b/>
          <w:bCs/>
          <w:color w:val="000000"/>
          <w:lang w:val="pl-PL"/>
        </w:rPr>
        <w:t>„Cena brutto wykonania zamówienia”</w:t>
      </w:r>
      <w:r w:rsidRPr="00D76733">
        <w:rPr>
          <w:rFonts w:ascii="Arial" w:hAnsi="Arial" w:cs="Arial"/>
          <w:color w:val="000000"/>
          <w:lang w:val="pl-PL"/>
        </w:rPr>
        <w:t>: Wykonawca, którego oferta nie została odrzucona i oferujący najniższą cenę uzyska maksymalną liczbę punktów przewidzianą dla oceny części składowej kryterium „Cena brutto wykonania zamówienia”. Pozostali oferenci będą oceniani proporcjonalnie, w odniesieniu do najtańszej złożonej oferty, zgodnie z poniższym wzorem, przy czym wyliczenie</w:t>
      </w:r>
    </w:p>
    <w:p w:rsidR="00D76733" w:rsidRPr="00D76733" w:rsidRDefault="00D76733" w:rsidP="00D76733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Pi(C) = </w:t>
      </w:r>
      <w:proofErr w:type="spellStart"/>
      <w:r w:rsidRPr="00D76733">
        <w:rPr>
          <w:rFonts w:ascii="Arial" w:hAnsi="Arial" w:cs="Arial"/>
          <w:i/>
          <w:iCs/>
          <w:color w:val="000000"/>
          <w:lang w:val="pl-PL"/>
        </w:rPr>
        <w:t>Cmin</w:t>
      </w:r>
      <w:proofErr w:type="spellEnd"/>
      <w:r w:rsidRPr="00D76733">
        <w:rPr>
          <w:rFonts w:ascii="Arial" w:hAnsi="Arial" w:cs="Arial"/>
          <w:i/>
          <w:iCs/>
          <w:color w:val="000000"/>
          <w:lang w:val="pl-PL"/>
        </w:rPr>
        <w:t>/Ci</w:t>
      </w:r>
      <w:r w:rsidRPr="00D76733">
        <w:rPr>
          <w:rFonts w:ascii="Arial" w:hAnsi="Arial" w:cs="Arial"/>
          <w:color w:val="000000"/>
          <w:lang w:val="pl-PL"/>
        </w:rPr>
        <w:t xml:space="preserve"> X 60 gdzie: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8250"/>
      </w:tblGrid>
      <w:tr w:rsidR="00D76733" w:rsidRPr="00D433F1" w:rsidTr="0059503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Pi(C) I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liczba punktów jakie otrzyma oferta za kryterium – cena brutto wykonania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br/>
              <w:t>zamówienia</w:t>
            </w:r>
          </w:p>
        </w:tc>
      </w:tr>
      <w:tr w:rsidR="00D76733" w:rsidRPr="00D433F1" w:rsidTr="0059503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proofErr w:type="spellStart"/>
            <w:r w:rsidRPr="00D76733">
              <w:rPr>
                <w:rFonts w:ascii="Arial" w:hAnsi="Arial" w:cs="Arial"/>
                <w:color w:val="000000"/>
                <w:lang w:val="pl-PL"/>
              </w:rPr>
              <w:t>Cmin</w:t>
            </w:r>
            <w:proofErr w:type="spellEnd"/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Najniższa cena spośród wszystkich ofert niepodlegających odrzuceniu</w:t>
            </w:r>
          </w:p>
        </w:tc>
      </w:tr>
      <w:tr w:rsidR="00D76733" w:rsidRPr="00D76733" w:rsidTr="0059503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Ci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Cena oferty badanej</w:t>
            </w:r>
          </w:p>
        </w:tc>
      </w:tr>
    </w:tbl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iCs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Zasady oceny ofert wg kryterium – </w:t>
      </w:r>
      <w:r w:rsidRPr="00D76733">
        <w:rPr>
          <w:rFonts w:ascii="Arial" w:hAnsi="Arial" w:cs="Arial"/>
          <w:b/>
          <w:bCs/>
          <w:color w:val="000000"/>
          <w:lang w:val="pl-PL"/>
        </w:rPr>
        <w:t>„Wydłużenie okresu gwarancji</w:t>
      </w:r>
      <w:r w:rsidRPr="00D76733">
        <w:rPr>
          <w:rFonts w:ascii="Arial" w:hAnsi="Arial" w:cs="Arial"/>
          <w:color w:val="000000"/>
          <w:lang w:val="pl-PL"/>
        </w:rPr>
        <w:t>”.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0"/>
        <w:gridCol w:w="1290"/>
      </w:tblGrid>
      <w:tr w:rsidR="00D76733" w:rsidRPr="00D76733" w:rsidTr="00595037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„Okres udzielonej gwarancji” (G)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Max.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Liczba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punktów</w:t>
            </w:r>
          </w:p>
        </w:tc>
      </w:tr>
      <w:tr w:rsidR="00D76733" w:rsidRPr="00D76733" w:rsidTr="00595037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Zamawiający będzie oceniał wydłużenie okresu udzielenia gwarancji na </w:t>
            </w:r>
            <w:r>
              <w:rPr>
                <w:rFonts w:ascii="Arial" w:hAnsi="Arial" w:cs="Arial"/>
                <w:color w:val="000000"/>
                <w:lang w:val="pl-PL"/>
              </w:rPr>
              <w:t>przedmiot zamówienia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 liczony od dnia podpisania protokołu </w:t>
            </w:r>
            <w:r>
              <w:rPr>
                <w:rFonts w:ascii="Arial" w:hAnsi="Arial" w:cs="Arial"/>
                <w:color w:val="000000"/>
                <w:lang w:val="pl-PL"/>
              </w:rPr>
              <w:t>odbioru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 przez obie strony bez zastrzeżeń, w następujący sposób: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Wykonawca otrzyma 20 pkt – w przypadku udzielenia gwarancji na okres </w:t>
            </w: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60 miesięcy 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od dnia podpisania protokołu </w:t>
            </w:r>
            <w:r>
              <w:rPr>
                <w:rFonts w:ascii="Arial" w:hAnsi="Arial" w:cs="Arial"/>
                <w:color w:val="000000"/>
                <w:lang w:val="pl-PL"/>
              </w:rPr>
              <w:t>odbioru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>;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Wykonawca otrzyma 10 pkt – w przypadku udzielenia gwarancji na okres </w:t>
            </w:r>
            <w:r w:rsidRPr="00D76733">
              <w:rPr>
                <w:rFonts w:ascii="Arial" w:hAnsi="Arial" w:cs="Arial"/>
                <w:b/>
                <w:color w:val="000000"/>
                <w:lang w:val="pl-PL"/>
              </w:rPr>
              <w:t>48</w:t>
            </w: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miesięcy 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>od dnia podpisania protokołu odbioru;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Wykonawca otrzyma 0 pkt – w przypadku udzielenia wymaganej przez Zamawiającego gwarancji na okres </w:t>
            </w: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36 miesięcy 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>od dnia podpisania protokołu odbioru.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20</w:t>
            </w:r>
          </w:p>
        </w:tc>
      </w:tr>
    </w:tbl>
    <w:p w:rsidR="00D76733" w:rsidRPr="00D76733" w:rsidRDefault="00D76733" w:rsidP="00D76733">
      <w:pPr>
        <w:spacing w:line="276" w:lineRule="auto"/>
        <w:ind w:firstLine="0"/>
        <w:jc w:val="both"/>
        <w:rPr>
          <w:rFonts w:ascii="Arial" w:hAnsi="Arial" w:cs="Arial"/>
          <w:i/>
          <w:iCs/>
          <w:color w:val="000000"/>
          <w:lang w:val="pl-PL"/>
        </w:rPr>
      </w:pPr>
      <w:r w:rsidRPr="00D76733">
        <w:rPr>
          <w:rFonts w:ascii="Arial" w:hAnsi="Arial" w:cs="Arial"/>
          <w:b/>
          <w:bCs/>
          <w:i/>
          <w:iCs/>
          <w:color w:val="000000"/>
          <w:lang w:val="pl-PL"/>
        </w:rPr>
        <w:t xml:space="preserve">Uwaga: </w:t>
      </w:r>
      <w:r w:rsidRPr="00D76733">
        <w:rPr>
          <w:rFonts w:ascii="Arial" w:hAnsi="Arial" w:cs="Arial"/>
          <w:i/>
          <w:iCs/>
          <w:color w:val="000000"/>
          <w:lang w:val="pl-PL"/>
        </w:rPr>
        <w:t xml:space="preserve">W przypadku, kiedy Wykonawca nie zaznaczy żadnego z kwadratów lub zaznaczy więcej niż jeden kwadrat w kryterium oceny „Okres udzielonej gwarancji” Zamawiający przyjmie, że Wykonawca udziela gwarancji na okres 36 miesięcy od dnia podpisania Protokołu Odbioru, a w kryterium oceny otrzyma 0 pkt. 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iCs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Zasady oceny ofert wg kryterium – </w:t>
      </w:r>
      <w:r w:rsidRPr="00D76733">
        <w:rPr>
          <w:rFonts w:ascii="Arial" w:hAnsi="Arial" w:cs="Arial"/>
          <w:b/>
          <w:bCs/>
          <w:color w:val="000000"/>
          <w:lang w:val="pl-PL"/>
        </w:rPr>
        <w:t>„Termin realizacji</w:t>
      </w:r>
      <w:r w:rsidRPr="00D76733">
        <w:rPr>
          <w:rFonts w:ascii="Arial" w:hAnsi="Arial" w:cs="Arial"/>
          <w:color w:val="000000"/>
          <w:lang w:val="pl-PL"/>
        </w:rPr>
        <w:t>”.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0"/>
        <w:gridCol w:w="1290"/>
      </w:tblGrid>
      <w:tr w:rsidR="00D76733" w:rsidRPr="00D76733" w:rsidTr="00595037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„Termin realizacji” (T)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Max.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Liczba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t>punktów</w:t>
            </w:r>
          </w:p>
        </w:tc>
      </w:tr>
      <w:tr w:rsidR="00D76733" w:rsidRPr="00D76733" w:rsidTr="00595037"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Zamawiający będzie oceniał skrócenie terminu realizacji na przedmiot zamówieni</w:t>
            </w:r>
            <w:r w:rsidR="00C04B10">
              <w:rPr>
                <w:rFonts w:ascii="Arial" w:hAnsi="Arial" w:cs="Arial"/>
                <w:color w:val="000000"/>
                <w:lang w:val="pl-PL"/>
              </w:rPr>
              <w:t>a liczony od dnia zawarcia umowy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t>, w następujący sposób: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Wykonawca otrzyma 20 pkt – w przypadku realizacji przedmiotu umowy w terminie do 30 dni od dnia podpisania umowy;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 xml:space="preserve">Wykonawca otrzyma 10 pkt – w przypadku realizacji przedmiotu umowy w </w:t>
            </w:r>
            <w:r w:rsidRPr="00D76733">
              <w:rPr>
                <w:rFonts w:ascii="Arial" w:hAnsi="Arial" w:cs="Arial"/>
                <w:color w:val="000000"/>
                <w:lang w:val="pl-PL"/>
              </w:rPr>
              <w:lastRenderedPageBreak/>
              <w:t>terminie od 31 do 60 dni od dnia podpisania umowy;</w:t>
            </w:r>
          </w:p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color w:val="000000"/>
                <w:lang w:val="pl-PL"/>
              </w:rPr>
              <w:t>Wykonawca otrzyma 0 pkt – w przypadku realizacji przedmiotu umowy w terminie od 61 do 100 dni od dnia podpisania umowy.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33" w:rsidRPr="00D76733" w:rsidRDefault="00D76733" w:rsidP="00D76733">
            <w:pPr>
              <w:spacing w:line="276" w:lineRule="auto"/>
              <w:ind w:firstLine="0"/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D76733">
              <w:rPr>
                <w:rFonts w:ascii="Arial" w:hAnsi="Arial" w:cs="Arial"/>
                <w:b/>
                <w:bCs/>
                <w:color w:val="000000"/>
                <w:lang w:val="pl-PL"/>
              </w:rPr>
              <w:lastRenderedPageBreak/>
              <w:t>20</w:t>
            </w:r>
          </w:p>
        </w:tc>
      </w:tr>
    </w:tbl>
    <w:p w:rsidR="00D76733" w:rsidRPr="00D76733" w:rsidRDefault="00D76733" w:rsidP="00D76733">
      <w:pPr>
        <w:spacing w:line="276" w:lineRule="auto"/>
        <w:ind w:firstLine="0"/>
        <w:jc w:val="both"/>
        <w:rPr>
          <w:rFonts w:ascii="Arial" w:hAnsi="Arial" w:cs="Arial"/>
          <w:i/>
          <w:iCs/>
          <w:color w:val="000000"/>
          <w:lang w:val="pl-PL"/>
        </w:rPr>
      </w:pPr>
      <w:r w:rsidRPr="00D76733">
        <w:rPr>
          <w:rFonts w:ascii="Arial" w:hAnsi="Arial" w:cs="Arial"/>
          <w:b/>
          <w:bCs/>
          <w:i/>
          <w:iCs/>
          <w:color w:val="000000"/>
          <w:lang w:val="pl-PL"/>
        </w:rPr>
        <w:lastRenderedPageBreak/>
        <w:t xml:space="preserve">Uwaga: </w:t>
      </w:r>
      <w:r w:rsidRPr="00D76733">
        <w:rPr>
          <w:rFonts w:ascii="Arial" w:hAnsi="Arial" w:cs="Arial"/>
          <w:i/>
          <w:iCs/>
          <w:color w:val="000000"/>
          <w:lang w:val="pl-PL"/>
        </w:rPr>
        <w:t xml:space="preserve">W przypadku, kiedy Wykonawca nie zaznaczy żadnego z kwadratów lub zaznaczy więcej niż jeden kwadrat w kryterium oceny „Termin realizacji” Zamawiający przyjmie, że Wykonawca zrealizuje przedmiot umowy w terminie od  61 do 100 dni od dnia podpisania umowy, a w kryterium oceny otrzyma 0 pkt. 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iCs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>Zamawiający udzieli zamówienia temu(tym) Wykonawcy (Wykonawcom), którego(</w:t>
      </w:r>
      <w:proofErr w:type="spellStart"/>
      <w:r w:rsidRPr="00D76733">
        <w:rPr>
          <w:rFonts w:ascii="Arial" w:hAnsi="Arial" w:cs="Arial"/>
          <w:color w:val="000000"/>
          <w:lang w:val="pl-PL"/>
        </w:rPr>
        <w:t>ych</w:t>
      </w:r>
      <w:proofErr w:type="spellEnd"/>
      <w:r w:rsidRPr="00D76733">
        <w:rPr>
          <w:rFonts w:ascii="Arial" w:hAnsi="Arial" w:cs="Arial"/>
          <w:color w:val="000000"/>
          <w:lang w:val="pl-PL"/>
        </w:rPr>
        <w:t>) oferta zostanie uznana za najkorzystniejszą, tj. uzyska największą łączną liczbę punktów ze wszystkich kryteriów.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 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 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 Jeżeli oferty otrzymały taką samą ocenę w kryterium o najwyższej wadze, Zamawiający wybiera ofertę z najniższą ceną lub najniższym kosztem. 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Jeżeli nie można dokonać wyboru oferty w sposób, o którym mowa w pkt 10, Zamawiający wzywa Wykonawców, którzy złożyli te oferty, do złożenia w terminie określonym przez zamawiającego ofert dodatkowych zawierających nową cenę lub koszt. </w:t>
      </w:r>
    </w:p>
    <w:p w:rsidR="00D76733" w:rsidRPr="00D76733" w:rsidRDefault="00D76733" w:rsidP="00D7673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iCs/>
          <w:color w:val="000000"/>
          <w:lang w:val="pl-PL"/>
        </w:rPr>
      </w:pPr>
      <w:r w:rsidRPr="00D76733">
        <w:rPr>
          <w:rFonts w:ascii="Arial" w:hAnsi="Arial" w:cs="Arial"/>
          <w:color w:val="000000"/>
          <w:lang w:val="pl-PL"/>
        </w:rPr>
        <w:t xml:space="preserve"> Wykonawcy, składając oferty dodatkowe, nie mogą oferować cen lub kosztów wyższych niż zaoferowane w uprzednio złożonych przez nich ofertach.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VII.</w:t>
      </w:r>
      <w:r w:rsidR="00DD6D9F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A26D36">
        <w:rPr>
          <w:rFonts w:ascii="Arial" w:hAnsi="Arial" w:cs="Arial"/>
          <w:b/>
          <w:bCs/>
          <w:color w:val="000000"/>
          <w:lang w:val="pl-PL"/>
        </w:rPr>
        <w:t>Termin i sposób składania ofert</w:t>
      </w:r>
    </w:p>
    <w:p w:rsidR="00A26D36" w:rsidRPr="00A26D36" w:rsidRDefault="00A26D36" w:rsidP="0041248D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 xml:space="preserve">1. Oferty </w:t>
      </w:r>
      <w:r w:rsidR="0041248D">
        <w:rPr>
          <w:rFonts w:ascii="Arial" w:hAnsi="Arial" w:cs="Arial"/>
          <w:color w:val="000000"/>
          <w:lang w:val="pl-PL"/>
        </w:rPr>
        <w:t xml:space="preserve">należy składać za pośrednictwem platformy </w:t>
      </w:r>
      <w:r w:rsidR="00016D3B">
        <w:rPr>
          <w:rFonts w:ascii="Arial" w:hAnsi="Arial" w:cs="Arial"/>
          <w:color w:val="000000"/>
          <w:lang w:val="pl-PL"/>
        </w:rPr>
        <w:t xml:space="preserve">Baza Konkurencyjności </w:t>
      </w:r>
      <w:r w:rsidRPr="00A26D36">
        <w:rPr>
          <w:rFonts w:ascii="Arial" w:hAnsi="Arial" w:cs="Arial"/>
          <w:color w:val="000000"/>
          <w:lang w:val="pl-PL"/>
        </w:rPr>
        <w:t xml:space="preserve">w terminie do dnia </w:t>
      </w:r>
      <w:r w:rsidR="00016D3B">
        <w:rPr>
          <w:rFonts w:ascii="Arial" w:hAnsi="Arial" w:cs="Arial"/>
          <w:b/>
          <w:bCs/>
          <w:color w:val="000000"/>
          <w:lang w:val="pl-PL"/>
        </w:rPr>
        <w:t>9</w:t>
      </w:r>
      <w:r w:rsidR="007F4F83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="00016D3B">
        <w:rPr>
          <w:rFonts w:ascii="Arial" w:hAnsi="Arial" w:cs="Arial"/>
          <w:b/>
          <w:bCs/>
          <w:color w:val="000000"/>
          <w:lang w:val="pl-PL"/>
        </w:rPr>
        <w:t>sierpnia</w:t>
      </w:r>
      <w:r w:rsidRPr="00A26D36">
        <w:rPr>
          <w:rFonts w:ascii="Arial" w:hAnsi="Arial" w:cs="Arial"/>
          <w:b/>
          <w:bCs/>
          <w:color w:val="000000"/>
          <w:lang w:val="pl-PL"/>
        </w:rPr>
        <w:t xml:space="preserve"> 20</w:t>
      </w:r>
      <w:r w:rsidR="00D76733">
        <w:rPr>
          <w:rFonts w:ascii="Arial" w:hAnsi="Arial" w:cs="Arial"/>
          <w:b/>
          <w:bCs/>
          <w:color w:val="000000"/>
          <w:lang w:val="pl-PL"/>
        </w:rPr>
        <w:t>2</w:t>
      </w:r>
      <w:r w:rsidR="00016D3B">
        <w:rPr>
          <w:rFonts w:ascii="Arial" w:hAnsi="Arial" w:cs="Arial"/>
          <w:b/>
          <w:bCs/>
          <w:color w:val="000000"/>
          <w:lang w:val="pl-PL"/>
        </w:rPr>
        <w:t>2</w:t>
      </w:r>
      <w:r w:rsidRPr="00A26D36">
        <w:rPr>
          <w:rFonts w:ascii="Arial" w:hAnsi="Arial" w:cs="Arial"/>
          <w:b/>
          <w:bCs/>
          <w:color w:val="000000"/>
          <w:lang w:val="pl-PL"/>
        </w:rPr>
        <w:t xml:space="preserve"> r.</w:t>
      </w:r>
      <w:r w:rsidR="00E76F2D">
        <w:rPr>
          <w:rFonts w:ascii="Arial" w:hAnsi="Arial" w:cs="Arial"/>
          <w:b/>
          <w:bCs/>
          <w:color w:val="000000"/>
          <w:lang w:val="pl-PL"/>
        </w:rPr>
        <w:t xml:space="preserve"> do godz. 1</w:t>
      </w:r>
      <w:r w:rsidR="00016D3B">
        <w:rPr>
          <w:rFonts w:ascii="Arial" w:hAnsi="Arial" w:cs="Arial"/>
          <w:b/>
          <w:bCs/>
          <w:color w:val="000000"/>
          <w:lang w:val="pl-PL"/>
        </w:rPr>
        <w:t>0</w:t>
      </w:r>
      <w:r w:rsidR="00D76733">
        <w:rPr>
          <w:rFonts w:ascii="Arial" w:hAnsi="Arial" w:cs="Arial"/>
          <w:b/>
          <w:bCs/>
          <w:color w:val="000000"/>
          <w:lang w:val="pl-PL"/>
        </w:rPr>
        <w:t>:00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2. Oferty, które wpłyną po terminie, nie będą rozpatrywane.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3. Ofertę składa osoba uprawniona do składania wiążących oświadczeń woli w imieniu</w:t>
      </w:r>
      <w:r w:rsidR="00D76733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Wykonawcy.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4. Wykonawca może zwrócić się do Zamawiającego o wyjaśnienie warunków zamówienia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="00D433F1">
        <w:rPr>
          <w:rFonts w:ascii="Arial" w:hAnsi="Arial" w:cs="Arial"/>
          <w:color w:val="000000"/>
          <w:lang w:val="pl-PL"/>
        </w:rPr>
        <w:t>w </w:t>
      </w:r>
      <w:r w:rsidRPr="00A26D36">
        <w:rPr>
          <w:rFonts w:ascii="Arial" w:hAnsi="Arial" w:cs="Arial"/>
          <w:color w:val="000000"/>
          <w:lang w:val="pl-PL"/>
        </w:rPr>
        <w:t>formie wskazanej w ust. 1.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A26D36">
        <w:rPr>
          <w:rFonts w:ascii="Arial" w:hAnsi="Arial" w:cs="Arial"/>
          <w:b/>
          <w:bCs/>
          <w:color w:val="000000"/>
          <w:lang w:val="pl-PL"/>
        </w:rPr>
        <w:t>VIII.</w:t>
      </w:r>
      <w:r w:rsidR="00DD6D9F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A26D36">
        <w:rPr>
          <w:rFonts w:ascii="Arial" w:hAnsi="Arial" w:cs="Arial"/>
          <w:b/>
          <w:bCs/>
          <w:color w:val="000000"/>
          <w:lang w:val="pl-PL"/>
        </w:rPr>
        <w:t>Sposób obliczenia ceny</w:t>
      </w:r>
    </w:p>
    <w:p w:rsidR="0010548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1. W formularzu oferty Wykonawca określi cenę za wykonanie całego zamówienia zgodnie z</w:t>
      </w:r>
      <w:r w:rsidR="00D433F1">
        <w:rPr>
          <w:rFonts w:ascii="Arial" w:hAnsi="Arial" w:cs="Arial"/>
          <w:color w:val="000000"/>
          <w:lang w:val="pl-PL"/>
        </w:rPr>
        <w:t> </w:t>
      </w:r>
      <w:r w:rsidR="00DD6D9F">
        <w:rPr>
          <w:rFonts w:ascii="Arial" w:hAnsi="Arial" w:cs="Arial"/>
          <w:color w:val="000000"/>
          <w:lang w:val="pl-PL"/>
        </w:rPr>
        <w:t xml:space="preserve">kosztorysem ofertowym 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2. Wartość cenową należy wpisać w złotych z dokładnością do dwóch miejsc po przecinku.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3. Cena musi zawierać wszystkie koszty niezbędne do prawidłowego wykonania przedmiotu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zamówienia.</w:t>
      </w:r>
    </w:p>
    <w:p w:rsidR="00105486" w:rsidRDefault="00A26D36" w:rsidP="00A26D36">
      <w:pPr>
        <w:spacing w:line="276" w:lineRule="auto"/>
        <w:ind w:firstLine="0"/>
        <w:jc w:val="both"/>
        <w:rPr>
          <w:rFonts w:ascii="Arial" w:hAnsi="Arial" w:cs="Arial"/>
          <w:b/>
          <w:color w:val="000000"/>
          <w:u w:val="single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4. Kosztorys ofertowy powinien być sporządzony w oparciu o przedmiar robót i podpisany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przez Wykonawcę.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5. Cena łączna wynika ze sporządzonego kosztorysu ofertowego. Kosztorys ofertowy powinien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być sporządzony w oparciu o przedmiar robót metodą kalkulacji uproszczonej zgodnie z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Polskimi Standardami Kosztorysowania Robót Budowlanych, wydanymi przez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Stowarzyszenie Kosztorysantów Budowlanych. Każda pozycja kosztorysu powinna zawierać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cenę jednostkową z narzutami.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6. Na stronie tytułowej kosztorysu należy podać wielkość stawki robocizny kosztorysowej i</w:t>
      </w:r>
      <w:r w:rsidR="00D433F1">
        <w:rPr>
          <w:rFonts w:ascii="Arial" w:hAnsi="Arial" w:cs="Arial"/>
          <w:color w:val="000000"/>
          <w:lang w:val="pl-PL"/>
        </w:rPr>
        <w:t> </w:t>
      </w:r>
      <w:r w:rsidRPr="00A26D36">
        <w:rPr>
          <w:rFonts w:ascii="Arial" w:hAnsi="Arial" w:cs="Arial"/>
          <w:color w:val="000000"/>
          <w:lang w:val="pl-PL"/>
        </w:rPr>
        <w:t>narzuty (bez kosztów zakupu, które należy uwzględnić w cenie materiałów).</w:t>
      </w:r>
    </w:p>
    <w:p w:rsidR="00A26D36" w:rsidRPr="00A26D36" w:rsidRDefault="00A26D36" w:rsidP="00A26D36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7. Rozliczenia między Zamawiającym i Wykonawcą będą prowadzone w złotych polskich.</w:t>
      </w:r>
    </w:p>
    <w:p w:rsidR="00DD6D9F" w:rsidRPr="00DD6D9F" w:rsidRDefault="00A26D36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D36">
        <w:rPr>
          <w:rFonts w:ascii="Arial" w:hAnsi="Arial" w:cs="Arial"/>
          <w:color w:val="000000"/>
          <w:lang w:val="pl-PL"/>
        </w:rPr>
        <w:t>8. W sytuacji, gdy Zamawiający nie będzie mógł dokonać wyboru najkorzystniejszej oferty ze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Pr="00A26D36">
        <w:rPr>
          <w:rFonts w:ascii="Arial" w:hAnsi="Arial" w:cs="Arial"/>
          <w:color w:val="000000"/>
          <w:lang w:val="pl-PL"/>
        </w:rPr>
        <w:t>względu na to, że zostały złożone oferty o takiej samej cenie, wezwie on Wykonawców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="00DD6D9F" w:rsidRPr="00DD6D9F">
        <w:rPr>
          <w:rFonts w:ascii="Arial" w:hAnsi="Arial" w:cs="Arial"/>
          <w:color w:val="000000"/>
          <w:lang w:val="pl-PL"/>
        </w:rPr>
        <w:t>którzy złożyli te oferty, do złożenia w określonym przez niego terminie ofert dodatkowych.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="00DD6D9F" w:rsidRPr="00DD6D9F">
        <w:rPr>
          <w:rFonts w:ascii="Arial" w:hAnsi="Arial" w:cs="Arial"/>
          <w:color w:val="000000"/>
          <w:lang w:val="pl-PL"/>
        </w:rPr>
        <w:lastRenderedPageBreak/>
        <w:t>Wykonawcy składający oferty dodatkowe nie mogą zaoferować cen wyższych niż</w:t>
      </w:r>
      <w:r w:rsidR="00DD6D9F">
        <w:rPr>
          <w:rFonts w:ascii="Arial" w:hAnsi="Arial" w:cs="Arial"/>
          <w:color w:val="000000"/>
          <w:lang w:val="pl-PL"/>
        </w:rPr>
        <w:t xml:space="preserve"> </w:t>
      </w:r>
      <w:r w:rsidR="00DD6D9F" w:rsidRPr="00DD6D9F">
        <w:rPr>
          <w:rFonts w:ascii="Arial" w:hAnsi="Arial" w:cs="Arial"/>
          <w:color w:val="000000"/>
          <w:lang w:val="pl-PL"/>
        </w:rPr>
        <w:t>zaoferowane w złożonych ofertach podstawowych.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DD6D9F">
        <w:rPr>
          <w:rFonts w:ascii="Arial" w:hAnsi="Arial" w:cs="Arial"/>
          <w:b/>
          <w:bCs/>
          <w:color w:val="000000"/>
          <w:lang w:val="pl-PL"/>
        </w:rPr>
        <w:t>IX.</w:t>
      </w:r>
      <w:r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="00D433F1">
        <w:rPr>
          <w:rFonts w:ascii="Arial" w:hAnsi="Arial" w:cs="Arial"/>
          <w:b/>
          <w:bCs/>
          <w:color w:val="000000"/>
          <w:lang w:val="pl-PL"/>
        </w:rPr>
        <w:t>Osoba</w:t>
      </w:r>
      <w:r w:rsidR="00E76F2D">
        <w:rPr>
          <w:rFonts w:ascii="Arial" w:hAnsi="Arial" w:cs="Arial"/>
          <w:b/>
          <w:bCs/>
          <w:color w:val="000000"/>
          <w:lang w:val="pl-PL"/>
        </w:rPr>
        <w:t>mi</w:t>
      </w:r>
      <w:r w:rsidR="00D433F1">
        <w:rPr>
          <w:rFonts w:ascii="Arial" w:hAnsi="Arial" w:cs="Arial"/>
          <w:b/>
          <w:bCs/>
          <w:color w:val="000000"/>
          <w:lang w:val="pl-PL"/>
        </w:rPr>
        <w:t xml:space="preserve"> upoważnion</w:t>
      </w:r>
      <w:r w:rsidR="00E76F2D">
        <w:rPr>
          <w:rFonts w:ascii="Arial" w:hAnsi="Arial" w:cs="Arial"/>
          <w:b/>
          <w:bCs/>
          <w:color w:val="000000"/>
          <w:lang w:val="pl-PL"/>
        </w:rPr>
        <w:t>ymi</w:t>
      </w:r>
      <w:r w:rsidRPr="00DD6D9F">
        <w:rPr>
          <w:rFonts w:ascii="Arial" w:hAnsi="Arial" w:cs="Arial"/>
          <w:b/>
          <w:bCs/>
          <w:color w:val="000000"/>
          <w:lang w:val="pl-PL"/>
        </w:rPr>
        <w:t xml:space="preserve"> do kontaktu z Wykonawcami</w:t>
      </w:r>
    </w:p>
    <w:p w:rsidR="00DD6D9F" w:rsidRPr="00DD6D9F" w:rsidRDefault="00D433F1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Osobą uprawnioną</w:t>
      </w:r>
      <w:r w:rsidR="00DD6D9F" w:rsidRPr="00DD6D9F">
        <w:rPr>
          <w:rFonts w:ascii="Arial" w:hAnsi="Arial" w:cs="Arial"/>
          <w:color w:val="000000"/>
          <w:lang w:val="pl-PL"/>
        </w:rPr>
        <w:t xml:space="preserve"> do kontaktowania się z Wykonawcami i udzielania wyjaśnień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 xml:space="preserve">dotyczących </w:t>
      </w:r>
      <w:r w:rsidR="00D433F1">
        <w:rPr>
          <w:rFonts w:ascii="Arial" w:hAnsi="Arial" w:cs="Arial"/>
          <w:color w:val="000000"/>
          <w:lang w:val="pl-PL"/>
        </w:rPr>
        <w:t xml:space="preserve">postępowania </w:t>
      </w:r>
      <w:r w:rsidR="00E76F2D">
        <w:rPr>
          <w:rFonts w:ascii="Arial" w:hAnsi="Arial" w:cs="Arial"/>
          <w:color w:val="000000"/>
          <w:lang w:val="pl-PL"/>
        </w:rPr>
        <w:t>są</w:t>
      </w:r>
      <w:r w:rsidRPr="00DD6D9F">
        <w:rPr>
          <w:rFonts w:ascii="Arial" w:hAnsi="Arial" w:cs="Arial"/>
          <w:color w:val="000000"/>
          <w:lang w:val="pl-PL"/>
        </w:rPr>
        <w:t>:</w:t>
      </w:r>
    </w:p>
    <w:p w:rsid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Marek Kraczek</w:t>
      </w:r>
      <w:r w:rsidR="00E76F2D">
        <w:rPr>
          <w:rFonts w:ascii="Arial" w:hAnsi="Arial" w:cs="Arial"/>
          <w:color w:val="000000"/>
          <w:lang w:val="pl-PL"/>
        </w:rPr>
        <w:t>, Wojciech Łoś</w:t>
      </w:r>
      <w:r w:rsidRPr="00DD6D9F">
        <w:rPr>
          <w:rFonts w:ascii="Arial" w:hAnsi="Arial" w:cs="Arial"/>
          <w:color w:val="000000"/>
          <w:lang w:val="pl-PL"/>
        </w:rPr>
        <w:t xml:space="preserve">; e-mail: </w:t>
      </w:r>
      <w:r w:rsidR="00E76F2D">
        <w:rPr>
          <w:rFonts w:ascii="Arial" w:hAnsi="Arial" w:cs="Arial"/>
          <w:color w:val="000000"/>
          <w:lang w:val="pl-PL"/>
        </w:rPr>
        <w:t>poczta</w:t>
      </w:r>
      <w:r>
        <w:rPr>
          <w:rFonts w:ascii="Arial" w:hAnsi="Arial" w:cs="Arial"/>
          <w:color w:val="000000"/>
          <w:lang w:val="pl-PL"/>
        </w:rPr>
        <w:t>@komarow.pl</w:t>
      </w:r>
      <w:r w:rsidRPr="00DD6D9F">
        <w:rPr>
          <w:rFonts w:ascii="Arial" w:hAnsi="Arial" w:cs="Arial"/>
          <w:color w:val="000000"/>
          <w:lang w:val="pl-PL"/>
        </w:rPr>
        <w:t xml:space="preserve">, tel. </w:t>
      </w:r>
      <w:r>
        <w:rPr>
          <w:rFonts w:ascii="Arial" w:hAnsi="Arial" w:cs="Arial"/>
          <w:color w:val="000000"/>
          <w:lang w:val="pl-PL"/>
        </w:rPr>
        <w:t>84 638 86 50</w:t>
      </w:r>
      <w:r w:rsidRPr="00DD6D9F">
        <w:rPr>
          <w:rFonts w:ascii="Arial" w:hAnsi="Arial" w:cs="Arial"/>
          <w:color w:val="000000"/>
          <w:lang w:val="pl-PL"/>
        </w:rPr>
        <w:t xml:space="preserve">, 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DD6D9F">
        <w:rPr>
          <w:rFonts w:ascii="Arial" w:hAnsi="Arial" w:cs="Arial"/>
          <w:b/>
          <w:bCs/>
          <w:color w:val="000000"/>
          <w:lang w:val="pl-PL"/>
        </w:rPr>
        <w:t>X.</w:t>
      </w:r>
      <w:r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DD6D9F">
        <w:rPr>
          <w:rFonts w:ascii="Arial" w:hAnsi="Arial" w:cs="Arial"/>
          <w:b/>
          <w:bCs/>
          <w:color w:val="000000"/>
          <w:lang w:val="pl-PL"/>
        </w:rPr>
        <w:t>Istotne postanowienia umowne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Istotne postanowienia zamówienia oraz sposób i warunki płatności określone zostały we wzorze</w:t>
      </w:r>
      <w:r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umowy, stanowiącym Załącznik nr 4.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DD6D9F">
        <w:rPr>
          <w:rFonts w:ascii="Arial" w:hAnsi="Arial" w:cs="Arial"/>
          <w:b/>
          <w:bCs/>
          <w:color w:val="000000"/>
          <w:lang w:val="pl-PL"/>
        </w:rPr>
        <w:t>XI. Warunki zmiany umowy</w:t>
      </w:r>
    </w:p>
    <w:p w:rsidR="00DD6D9F" w:rsidRPr="00DD6D9F" w:rsidRDefault="00A27928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Warunki zmian w umowie</w:t>
      </w:r>
      <w:r w:rsidRPr="00A27928">
        <w:rPr>
          <w:rFonts w:ascii="Arial" w:hAnsi="Arial" w:cs="Arial"/>
          <w:color w:val="000000"/>
          <w:lang w:val="pl-PL"/>
        </w:rPr>
        <w:t xml:space="preserve"> określone zostały we wzorze umowy, stanowiącym Załącznik nr 4</w:t>
      </w:r>
      <w:r w:rsidR="00DD6D9F" w:rsidRPr="00DD6D9F">
        <w:rPr>
          <w:rFonts w:ascii="Arial" w:hAnsi="Arial" w:cs="Arial"/>
          <w:color w:val="000000"/>
          <w:lang w:val="pl-PL"/>
        </w:rPr>
        <w:t>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DD6D9F">
        <w:rPr>
          <w:rFonts w:ascii="Arial" w:hAnsi="Arial" w:cs="Arial"/>
          <w:b/>
          <w:bCs/>
          <w:color w:val="000000"/>
          <w:lang w:val="pl-PL"/>
        </w:rPr>
        <w:t>XII.</w:t>
      </w:r>
      <w:r w:rsidR="00105486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DD6D9F">
        <w:rPr>
          <w:rFonts w:ascii="Arial" w:hAnsi="Arial" w:cs="Arial"/>
          <w:b/>
          <w:bCs/>
          <w:color w:val="000000"/>
          <w:lang w:val="pl-PL"/>
        </w:rPr>
        <w:t>Info</w:t>
      </w:r>
      <w:r w:rsidR="00A27928">
        <w:rPr>
          <w:rFonts w:ascii="Arial" w:hAnsi="Arial" w:cs="Arial"/>
          <w:b/>
          <w:bCs/>
          <w:color w:val="000000"/>
          <w:lang w:val="pl-PL"/>
        </w:rPr>
        <w:t>rmacja o przewidywanych opcjach</w:t>
      </w:r>
      <w:r w:rsidRPr="00DD6D9F">
        <w:rPr>
          <w:rFonts w:ascii="Arial" w:hAnsi="Arial" w:cs="Arial"/>
          <w:b/>
          <w:bCs/>
          <w:color w:val="000000"/>
          <w:lang w:val="pl-PL"/>
        </w:rPr>
        <w:t>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Zamawiający nie przewiduje możliwości skorzystania z prawa opcji oraz udzielenia zamówienia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polegającego na powtórzeniu podobnych robót.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DD6D9F">
        <w:rPr>
          <w:rFonts w:ascii="Arial" w:hAnsi="Arial" w:cs="Arial"/>
          <w:b/>
          <w:bCs/>
          <w:color w:val="000000"/>
          <w:lang w:val="pl-PL"/>
        </w:rPr>
        <w:t>XIII.</w:t>
      </w:r>
      <w:r w:rsidR="00A27928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DD6D9F">
        <w:rPr>
          <w:rFonts w:ascii="Arial" w:hAnsi="Arial" w:cs="Arial"/>
          <w:b/>
          <w:bCs/>
          <w:color w:val="000000"/>
          <w:lang w:val="pl-PL"/>
        </w:rPr>
        <w:t>Inne informacje o zamówieniu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1. Okres związania ofertą wynosi 30 dni licząc od upływu terminu składania ofert.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2. W celu zapewnienia porównywalności wszystkich ofert, Zamawiający zastrzega sobie prawo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do skontaktowania się z właściwymi Wykonawcami, w celu uzupełnienia lub doprecyzowania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przesłanych dokumentów.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3. Zamawiający poprawia w ofercie: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1) oczywiste omyłki pisarskie, czyli bezsporne, niebudzące wątpliwości omyłki dotyczące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wyrazów, w szczególności:</w:t>
      </w:r>
    </w:p>
    <w:p w:rsidR="00DD6D9F" w:rsidRPr="00A27928" w:rsidRDefault="00DD6D9F" w:rsidP="00A2792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928">
        <w:rPr>
          <w:rFonts w:ascii="Arial" w:hAnsi="Arial" w:cs="Arial"/>
          <w:color w:val="000000"/>
          <w:sz w:val="22"/>
          <w:szCs w:val="22"/>
        </w:rPr>
        <w:t>ewidentny błąd gramatyczny,</w:t>
      </w:r>
    </w:p>
    <w:p w:rsidR="00DD6D9F" w:rsidRPr="00A27928" w:rsidRDefault="00DD6D9F" w:rsidP="00A2792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928">
        <w:rPr>
          <w:rFonts w:ascii="Arial" w:hAnsi="Arial" w:cs="Arial"/>
          <w:color w:val="000000"/>
          <w:sz w:val="22"/>
          <w:szCs w:val="22"/>
        </w:rPr>
        <w:t>mylną pisownię wyrazów,</w:t>
      </w:r>
    </w:p>
    <w:p w:rsidR="00DD6D9F" w:rsidRPr="00A27928" w:rsidRDefault="00DD6D9F" w:rsidP="00A2792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928">
        <w:rPr>
          <w:rFonts w:ascii="Arial" w:hAnsi="Arial" w:cs="Arial"/>
          <w:color w:val="000000"/>
          <w:sz w:val="22"/>
          <w:szCs w:val="22"/>
        </w:rPr>
        <w:t>niezamierzone opuszczenie wyrazu lub jego części,</w:t>
      </w:r>
    </w:p>
    <w:p w:rsidR="00DD6D9F" w:rsidRPr="00A27928" w:rsidRDefault="00DD6D9F" w:rsidP="00A2792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928">
        <w:rPr>
          <w:rFonts w:ascii="Arial" w:hAnsi="Arial" w:cs="Arial"/>
          <w:color w:val="000000"/>
          <w:sz w:val="22"/>
          <w:szCs w:val="22"/>
        </w:rPr>
        <w:t>ewidentny błąd rzeczowy,</w:t>
      </w:r>
    </w:p>
    <w:p w:rsidR="00DD6D9F" w:rsidRPr="00A27928" w:rsidRDefault="00DD6D9F" w:rsidP="00A2792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928">
        <w:rPr>
          <w:rFonts w:ascii="Arial" w:hAnsi="Arial" w:cs="Arial"/>
          <w:color w:val="000000"/>
          <w:sz w:val="22"/>
          <w:szCs w:val="22"/>
        </w:rPr>
        <w:t>rozbieżność pomiędzy ceną wpisaną liczbą i słownie;</w:t>
      </w:r>
    </w:p>
    <w:p w:rsidR="00DD6D9F" w:rsidRPr="00A27928" w:rsidRDefault="00DD6D9F" w:rsidP="0073440D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</w:rPr>
      </w:pPr>
      <w:r w:rsidRPr="00A27928">
        <w:rPr>
          <w:rFonts w:ascii="Arial" w:hAnsi="Arial" w:cs="Arial"/>
          <w:color w:val="000000"/>
          <w:sz w:val="22"/>
          <w:szCs w:val="22"/>
        </w:rPr>
        <w:t>oczywiste omyłki rachunkowe (omyłki dotyczące działań arytmetycznych na liczbach),</w:t>
      </w:r>
      <w:r w:rsidR="00A279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7928">
        <w:rPr>
          <w:rFonts w:ascii="Arial" w:hAnsi="Arial" w:cs="Arial"/>
          <w:color w:val="000000"/>
          <w:sz w:val="22"/>
          <w:szCs w:val="22"/>
        </w:rPr>
        <w:t>z uwzględnieniem konsekwencji rachunkowych dokonywanych poprawek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- niezwłocznie zawiadamiając o tym Wykonawcę, którego oferta została poprawiona.</w:t>
      </w:r>
    </w:p>
    <w:p w:rsidR="00DD6D9F" w:rsidRPr="00DD6D9F" w:rsidRDefault="00DD6D9F" w:rsidP="00A27928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4. Zapytanie nie jest postępowaniem o udzielenie zamówienia w rozumieniu przepisów Prawa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 xml:space="preserve">zamówień publicznych oraz nie kształtuje zobowiązania </w:t>
      </w:r>
      <w:r w:rsidR="00A27928">
        <w:rPr>
          <w:rFonts w:ascii="Arial" w:hAnsi="Arial" w:cs="Arial"/>
          <w:color w:val="000000"/>
          <w:lang w:val="pl-PL"/>
        </w:rPr>
        <w:t>Gminy Komarów-Osada</w:t>
      </w:r>
      <w:r w:rsidRPr="00DD6D9F">
        <w:rPr>
          <w:rFonts w:ascii="Arial" w:hAnsi="Arial" w:cs="Arial"/>
          <w:color w:val="000000"/>
          <w:lang w:val="pl-PL"/>
        </w:rPr>
        <w:t xml:space="preserve"> do przyjęcia którejkolwiek z ofert.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5. Zamawiający zastrzega sobie prawo do rezygnacji z zamówienia, bez wyboru którejkolwiek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ze złożonych ofert.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6. Niniejsze zapytanie nie stanowi oferty w myśl art. 66 Kodeksu Cywilnego, jak również nie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jest ogłoszeniem w rozumieniu ustawy Prawo Zamówień Publicznych.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7. Zamawiający zastrzega, że całościowa oferowana cena stanowi informację publiczną w</w:t>
      </w:r>
      <w:r w:rsidR="0073440D">
        <w:rPr>
          <w:rFonts w:ascii="Arial" w:hAnsi="Arial" w:cs="Arial"/>
          <w:color w:val="000000"/>
          <w:lang w:val="pl-PL"/>
        </w:rPr>
        <w:t> </w:t>
      </w:r>
      <w:r w:rsidRPr="00DD6D9F">
        <w:rPr>
          <w:rFonts w:ascii="Arial" w:hAnsi="Arial" w:cs="Arial"/>
          <w:color w:val="000000"/>
          <w:lang w:val="pl-PL"/>
        </w:rPr>
        <w:t>rozumieniu przepisów Ustawy o dostępie do informacji publicznej i w przypadku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zastrzeżenia jej przez oferenta jako tajemnicy przedsiębiorstwa lub tajemnicy</w:t>
      </w:r>
      <w:r w:rsidR="00A27928">
        <w:rPr>
          <w:rFonts w:ascii="Arial" w:hAnsi="Arial" w:cs="Arial"/>
          <w:color w:val="000000"/>
          <w:lang w:val="pl-PL"/>
        </w:rPr>
        <w:t xml:space="preserve"> </w:t>
      </w:r>
      <w:r w:rsidRPr="00DD6D9F">
        <w:rPr>
          <w:rFonts w:ascii="Arial" w:hAnsi="Arial" w:cs="Arial"/>
          <w:color w:val="000000"/>
          <w:lang w:val="pl-PL"/>
        </w:rPr>
        <w:t>przedsiębiorcy, jego oferta zostanie odrzucona.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lang w:val="pl-PL"/>
        </w:rPr>
      </w:pPr>
      <w:r w:rsidRPr="00DD6D9F">
        <w:rPr>
          <w:rFonts w:ascii="Arial" w:hAnsi="Arial" w:cs="Arial"/>
          <w:b/>
          <w:bCs/>
          <w:color w:val="000000"/>
          <w:lang w:val="pl-PL"/>
        </w:rPr>
        <w:t>XIV.</w:t>
      </w:r>
      <w:r w:rsidR="005E44E4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Pr="00DD6D9F">
        <w:rPr>
          <w:rFonts w:ascii="Arial" w:hAnsi="Arial" w:cs="Arial"/>
          <w:b/>
          <w:bCs/>
          <w:color w:val="000000"/>
          <w:lang w:val="pl-PL"/>
        </w:rPr>
        <w:t>Załączniki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1) Opis przedmiotu zamówienia;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2) Wzór formularza oferty;</w:t>
      </w:r>
    </w:p>
    <w:p w:rsidR="00DD6D9F" w:rsidRPr="00DD6D9F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 xml:space="preserve">3) </w:t>
      </w:r>
      <w:r w:rsidR="00634CEF">
        <w:rPr>
          <w:rFonts w:ascii="Arial" w:hAnsi="Arial" w:cs="Arial"/>
          <w:color w:val="000000"/>
          <w:lang w:val="pl-PL"/>
        </w:rPr>
        <w:t>Dokumentacja projektowa</w:t>
      </w:r>
      <w:r w:rsidRPr="00DD6D9F">
        <w:rPr>
          <w:rFonts w:ascii="Arial" w:hAnsi="Arial" w:cs="Arial"/>
          <w:color w:val="000000"/>
          <w:lang w:val="pl-PL"/>
        </w:rPr>
        <w:t>;</w:t>
      </w:r>
    </w:p>
    <w:p w:rsidR="00A27928" w:rsidRDefault="00DD6D9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DD6D9F">
        <w:rPr>
          <w:rFonts w:ascii="Arial" w:hAnsi="Arial" w:cs="Arial"/>
          <w:color w:val="000000"/>
          <w:lang w:val="pl-PL"/>
        </w:rPr>
        <w:t>4) Wzór umowy</w:t>
      </w:r>
    </w:p>
    <w:p w:rsidR="00634CEF" w:rsidRDefault="00634CEF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5</w:t>
      </w:r>
      <w:r w:rsidRPr="00634CEF">
        <w:rPr>
          <w:rFonts w:ascii="Arial" w:hAnsi="Arial" w:cs="Arial"/>
          <w:color w:val="000000"/>
          <w:lang w:val="pl-PL"/>
        </w:rPr>
        <w:t>) Przedmiar robót;</w:t>
      </w:r>
    </w:p>
    <w:bookmarkEnd w:id="0"/>
    <w:p w:rsidR="00A27928" w:rsidRDefault="00A27928" w:rsidP="00DD6D9F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</w:p>
    <w:sectPr w:rsidR="00A27928" w:rsidSect="0063736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FC" w:rsidRDefault="002E61FC">
      <w:r>
        <w:separator/>
      </w:r>
    </w:p>
  </w:endnote>
  <w:endnote w:type="continuationSeparator" w:id="0">
    <w:p w:rsidR="002E61FC" w:rsidRDefault="002E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BB" w:rsidRPr="00BC7EB5" w:rsidRDefault="007C7FBB" w:rsidP="00BC7EB5">
    <w:pPr>
      <w:pStyle w:val="Stopka"/>
      <w:pBdr>
        <w:top w:val="single" w:sz="4" w:space="1" w:color="auto"/>
      </w:pBdr>
      <w:jc w:val="right"/>
      <w:rPr>
        <w:rFonts w:asciiTheme="minorBidi" w:hAnsiTheme="minorBidi" w:cstheme="minorBidi"/>
        <w:i/>
        <w:iCs/>
        <w:sz w:val="18"/>
        <w:szCs w:val="18"/>
      </w:rPr>
    </w:pPr>
    <w:r w:rsidRPr="00BC7EB5">
      <w:rPr>
        <w:rFonts w:asciiTheme="minorBidi" w:hAnsiTheme="minorBidi" w:cstheme="minorBidi"/>
        <w:i/>
        <w:iCs/>
        <w:sz w:val="18"/>
        <w:szCs w:val="18"/>
        <w:lang w:val="pl-PL"/>
      </w:rPr>
      <w:t xml:space="preserve">Strona </w:t>
    </w:r>
    <w:r w:rsidR="000E73F1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begin"/>
    </w:r>
    <w:r w:rsidRPr="00BC7EB5">
      <w:rPr>
        <w:rFonts w:asciiTheme="minorBidi" w:hAnsiTheme="minorBidi" w:cstheme="minorBidi"/>
        <w:b/>
        <w:bCs/>
        <w:i/>
        <w:iCs/>
        <w:sz w:val="18"/>
        <w:szCs w:val="18"/>
      </w:rPr>
      <w:instrText>PAGE</w:instrText>
    </w:r>
    <w:r w:rsidR="000E73F1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separate"/>
    </w:r>
    <w:r w:rsidR="00A70013">
      <w:rPr>
        <w:rFonts w:asciiTheme="minorBidi" w:hAnsiTheme="minorBidi" w:cstheme="minorBidi"/>
        <w:b/>
        <w:bCs/>
        <w:i/>
        <w:iCs/>
        <w:noProof/>
        <w:sz w:val="18"/>
        <w:szCs w:val="18"/>
      </w:rPr>
      <w:t>4</w:t>
    </w:r>
    <w:r w:rsidR="000E73F1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FC" w:rsidRDefault="002E61FC">
      <w:r>
        <w:separator/>
      </w:r>
    </w:p>
  </w:footnote>
  <w:footnote w:type="continuationSeparator" w:id="0">
    <w:p w:rsidR="002E61FC" w:rsidRDefault="002E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0D" w:rsidRPr="001524D5" w:rsidRDefault="00CF464E" w:rsidP="00C82202">
    <w:pPr>
      <w:pStyle w:val="Nagwek"/>
      <w:ind w:firstLine="0"/>
      <w:rPr>
        <w:rFonts w:ascii="Arial" w:hAnsi="Arial" w:cs="Arial"/>
        <w:i/>
        <w:iCs/>
        <w:sz w:val="20"/>
        <w:szCs w:val="20"/>
        <w:lang w:val="pl-PL"/>
      </w:rPr>
    </w:pPr>
    <w:r>
      <w:rPr>
        <w:rFonts w:ascii="Arial" w:hAnsi="Arial" w:cs="Arial"/>
        <w:i/>
        <w:iCs/>
        <w:sz w:val="20"/>
        <w:szCs w:val="20"/>
        <w:lang w:val="pl-PL"/>
      </w:rPr>
      <w:tab/>
    </w:r>
    <w:r>
      <w:rPr>
        <w:rFonts w:ascii="Arial" w:hAnsi="Arial" w:cs="Arial"/>
        <w:i/>
        <w:iCs/>
        <w:sz w:val="20"/>
        <w:szCs w:val="20"/>
        <w:lang w:val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61" w:rsidRDefault="00637361">
    <w:pPr>
      <w:pStyle w:val="Nagwek"/>
    </w:pPr>
    <w:r w:rsidRPr="00637361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-495300</wp:posOffset>
          </wp:positionV>
          <wp:extent cx="4583430" cy="1165860"/>
          <wp:effectExtent l="19050" t="0" r="7620" b="0"/>
          <wp:wrapNone/>
          <wp:docPr id="2" name="Obraz 0" descr="prow logo krac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logo kracz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3430" cy="1164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673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A284F"/>
    <w:multiLevelType w:val="hybridMultilevel"/>
    <w:tmpl w:val="DE9E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F28764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B7894"/>
    <w:multiLevelType w:val="hybridMultilevel"/>
    <w:tmpl w:val="2DBE20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1172"/>
    <w:multiLevelType w:val="hybridMultilevel"/>
    <w:tmpl w:val="E6F856D4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654943"/>
    <w:multiLevelType w:val="hybridMultilevel"/>
    <w:tmpl w:val="9674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9596A"/>
    <w:multiLevelType w:val="hybridMultilevel"/>
    <w:tmpl w:val="14B2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216DB3"/>
    <w:multiLevelType w:val="hybridMultilevel"/>
    <w:tmpl w:val="76307F58"/>
    <w:lvl w:ilvl="0" w:tplc="17E648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566A0B"/>
    <w:multiLevelType w:val="hybridMultilevel"/>
    <w:tmpl w:val="DC0C5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7"/>
  </w:num>
  <w:num w:numId="3">
    <w:abstractNumId w:val="14"/>
  </w:num>
  <w:num w:numId="4">
    <w:abstractNumId w:val="24"/>
  </w:num>
  <w:num w:numId="5">
    <w:abstractNumId w:val="25"/>
  </w:num>
  <w:num w:numId="6">
    <w:abstractNumId w:val="16"/>
  </w:num>
  <w:num w:numId="7">
    <w:abstractNumId w:val="2"/>
  </w:num>
  <w:num w:numId="8">
    <w:abstractNumId w:val="4"/>
  </w:num>
  <w:num w:numId="9">
    <w:abstractNumId w:val="11"/>
  </w:num>
  <w:num w:numId="10">
    <w:abstractNumId w:val="7"/>
  </w:num>
  <w:num w:numId="11">
    <w:abstractNumId w:val="23"/>
  </w:num>
  <w:num w:numId="12">
    <w:abstractNumId w:val="9"/>
  </w:num>
  <w:num w:numId="13">
    <w:abstractNumId w:val="22"/>
  </w:num>
  <w:num w:numId="14">
    <w:abstractNumId w:val="5"/>
  </w:num>
  <w:num w:numId="15">
    <w:abstractNumId w:val="21"/>
  </w:num>
  <w:num w:numId="16">
    <w:abstractNumId w:val="20"/>
  </w:num>
  <w:num w:numId="17">
    <w:abstractNumId w:val="0"/>
  </w:num>
  <w:num w:numId="18">
    <w:abstractNumId w:val="13"/>
  </w:num>
  <w:num w:numId="19">
    <w:abstractNumId w:val="18"/>
  </w:num>
  <w:num w:numId="20">
    <w:abstractNumId w:val="8"/>
  </w:num>
  <w:num w:numId="21">
    <w:abstractNumId w:val="12"/>
  </w:num>
  <w:num w:numId="22">
    <w:abstractNumId w:val="3"/>
  </w:num>
  <w:num w:numId="23">
    <w:abstractNumId w:val="6"/>
  </w:num>
  <w:num w:numId="24">
    <w:abstractNumId w:val="15"/>
  </w:num>
  <w:num w:numId="25">
    <w:abstractNumId w:val="10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AA"/>
    <w:rsid w:val="0000503D"/>
    <w:rsid w:val="00005761"/>
    <w:rsid w:val="00016D3B"/>
    <w:rsid w:val="00031F8B"/>
    <w:rsid w:val="000367C1"/>
    <w:rsid w:val="00037426"/>
    <w:rsid w:val="00041149"/>
    <w:rsid w:val="00041B49"/>
    <w:rsid w:val="00044537"/>
    <w:rsid w:val="00044802"/>
    <w:rsid w:val="00044AC6"/>
    <w:rsid w:val="0005299A"/>
    <w:rsid w:val="00061437"/>
    <w:rsid w:val="00086D41"/>
    <w:rsid w:val="0008721E"/>
    <w:rsid w:val="00093F8E"/>
    <w:rsid w:val="000C38B3"/>
    <w:rsid w:val="000E1ED9"/>
    <w:rsid w:val="000E49D9"/>
    <w:rsid w:val="000E63C2"/>
    <w:rsid w:val="000E73F1"/>
    <w:rsid w:val="000F1D9C"/>
    <w:rsid w:val="00100D1E"/>
    <w:rsid w:val="00105486"/>
    <w:rsid w:val="00112ABB"/>
    <w:rsid w:val="00114D73"/>
    <w:rsid w:val="00115540"/>
    <w:rsid w:val="00130860"/>
    <w:rsid w:val="001524D5"/>
    <w:rsid w:val="00165311"/>
    <w:rsid w:val="00167741"/>
    <w:rsid w:val="00171D2A"/>
    <w:rsid w:val="00172F80"/>
    <w:rsid w:val="00173CAC"/>
    <w:rsid w:val="00184586"/>
    <w:rsid w:val="00196F09"/>
    <w:rsid w:val="001B03AD"/>
    <w:rsid w:val="001C1172"/>
    <w:rsid w:val="001C2BF0"/>
    <w:rsid w:val="001D6835"/>
    <w:rsid w:val="001E03ED"/>
    <w:rsid w:val="00203A97"/>
    <w:rsid w:val="00206A33"/>
    <w:rsid w:val="00211EFE"/>
    <w:rsid w:val="0022213C"/>
    <w:rsid w:val="00225DB0"/>
    <w:rsid w:val="00226F2E"/>
    <w:rsid w:val="002525DF"/>
    <w:rsid w:val="002547AC"/>
    <w:rsid w:val="00254AF9"/>
    <w:rsid w:val="0026310D"/>
    <w:rsid w:val="002950B3"/>
    <w:rsid w:val="002A046F"/>
    <w:rsid w:val="002A4397"/>
    <w:rsid w:val="002B080A"/>
    <w:rsid w:val="002B691C"/>
    <w:rsid w:val="002C7AFD"/>
    <w:rsid w:val="002D4F93"/>
    <w:rsid w:val="002D5F22"/>
    <w:rsid w:val="002E2ABD"/>
    <w:rsid w:val="002E61FC"/>
    <w:rsid w:val="002F3135"/>
    <w:rsid w:val="002F3AF3"/>
    <w:rsid w:val="002F583B"/>
    <w:rsid w:val="002F71A9"/>
    <w:rsid w:val="0030430D"/>
    <w:rsid w:val="003055BC"/>
    <w:rsid w:val="00305D3F"/>
    <w:rsid w:val="003078E0"/>
    <w:rsid w:val="00325216"/>
    <w:rsid w:val="00333FD4"/>
    <w:rsid w:val="003358ED"/>
    <w:rsid w:val="00342434"/>
    <w:rsid w:val="003448DF"/>
    <w:rsid w:val="003453D4"/>
    <w:rsid w:val="00347AE9"/>
    <w:rsid w:val="00352A27"/>
    <w:rsid w:val="00357CA0"/>
    <w:rsid w:val="00360ACF"/>
    <w:rsid w:val="00360B5E"/>
    <w:rsid w:val="003779A0"/>
    <w:rsid w:val="00386A13"/>
    <w:rsid w:val="003A11ED"/>
    <w:rsid w:val="003A4739"/>
    <w:rsid w:val="003A4BE2"/>
    <w:rsid w:val="003B0339"/>
    <w:rsid w:val="003D0B6F"/>
    <w:rsid w:val="003D4656"/>
    <w:rsid w:val="003D760D"/>
    <w:rsid w:val="003E178D"/>
    <w:rsid w:val="003E606E"/>
    <w:rsid w:val="003F12E0"/>
    <w:rsid w:val="003F7EAE"/>
    <w:rsid w:val="004049F5"/>
    <w:rsid w:val="00411836"/>
    <w:rsid w:val="0041248D"/>
    <w:rsid w:val="0041749D"/>
    <w:rsid w:val="00425CA5"/>
    <w:rsid w:val="004334D1"/>
    <w:rsid w:val="00446FCC"/>
    <w:rsid w:val="004521F1"/>
    <w:rsid w:val="00454E6C"/>
    <w:rsid w:val="00457084"/>
    <w:rsid w:val="00460767"/>
    <w:rsid w:val="00476136"/>
    <w:rsid w:val="004866C5"/>
    <w:rsid w:val="004930AF"/>
    <w:rsid w:val="0049347F"/>
    <w:rsid w:val="00497AE4"/>
    <w:rsid w:val="004B2966"/>
    <w:rsid w:val="004B30AF"/>
    <w:rsid w:val="004B64D4"/>
    <w:rsid w:val="004C7F85"/>
    <w:rsid w:val="004D0CDD"/>
    <w:rsid w:val="004D1259"/>
    <w:rsid w:val="004E7786"/>
    <w:rsid w:val="004F664A"/>
    <w:rsid w:val="004F6AEC"/>
    <w:rsid w:val="004F7A2A"/>
    <w:rsid w:val="005076F7"/>
    <w:rsid w:val="0051439D"/>
    <w:rsid w:val="0054045B"/>
    <w:rsid w:val="005404BF"/>
    <w:rsid w:val="005423D7"/>
    <w:rsid w:val="00566AC8"/>
    <w:rsid w:val="005704D4"/>
    <w:rsid w:val="00571430"/>
    <w:rsid w:val="00575615"/>
    <w:rsid w:val="0058268E"/>
    <w:rsid w:val="005912DE"/>
    <w:rsid w:val="00596D6F"/>
    <w:rsid w:val="005A2EEB"/>
    <w:rsid w:val="005A34CB"/>
    <w:rsid w:val="005A46F5"/>
    <w:rsid w:val="005A5C5E"/>
    <w:rsid w:val="005A61B8"/>
    <w:rsid w:val="005A7047"/>
    <w:rsid w:val="005B4BFB"/>
    <w:rsid w:val="005C2322"/>
    <w:rsid w:val="005D463E"/>
    <w:rsid w:val="005D4716"/>
    <w:rsid w:val="005E3342"/>
    <w:rsid w:val="005E44E4"/>
    <w:rsid w:val="005E6038"/>
    <w:rsid w:val="005F1B8B"/>
    <w:rsid w:val="00607363"/>
    <w:rsid w:val="0060756E"/>
    <w:rsid w:val="00611D7F"/>
    <w:rsid w:val="00616EBF"/>
    <w:rsid w:val="00633F45"/>
    <w:rsid w:val="00634CEF"/>
    <w:rsid w:val="00636154"/>
    <w:rsid w:val="00637361"/>
    <w:rsid w:val="0065192B"/>
    <w:rsid w:val="00662E65"/>
    <w:rsid w:val="00663DE2"/>
    <w:rsid w:val="00684728"/>
    <w:rsid w:val="00684A0E"/>
    <w:rsid w:val="00693F6F"/>
    <w:rsid w:val="00695C6F"/>
    <w:rsid w:val="006973F8"/>
    <w:rsid w:val="006B1B29"/>
    <w:rsid w:val="006B2CC1"/>
    <w:rsid w:val="006B5381"/>
    <w:rsid w:val="006C039B"/>
    <w:rsid w:val="006E003B"/>
    <w:rsid w:val="006E0C36"/>
    <w:rsid w:val="006E21EC"/>
    <w:rsid w:val="006F269D"/>
    <w:rsid w:val="0070219C"/>
    <w:rsid w:val="00705FBD"/>
    <w:rsid w:val="00710498"/>
    <w:rsid w:val="00711104"/>
    <w:rsid w:val="00722804"/>
    <w:rsid w:val="007273AB"/>
    <w:rsid w:val="007307F2"/>
    <w:rsid w:val="0073440D"/>
    <w:rsid w:val="007377E4"/>
    <w:rsid w:val="007450CB"/>
    <w:rsid w:val="00746DF5"/>
    <w:rsid w:val="00747A69"/>
    <w:rsid w:val="00751A47"/>
    <w:rsid w:val="007612E5"/>
    <w:rsid w:val="007777E7"/>
    <w:rsid w:val="007906EC"/>
    <w:rsid w:val="00790AC3"/>
    <w:rsid w:val="0079211C"/>
    <w:rsid w:val="00792EFC"/>
    <w:rsid w:val="00795063"/>
    <w:rsid w:val="007A3A69"/>
    <w:rsid w:val="007A4363"/>
    <w:rsid w:val="007C20F0"/>
    <w:rsid w:val="007C214C"/>
    <w:rsid w:val="007C5CD7"/>
    <w:rsid w:val="007C7FBB"/>
    <w:rsid w:val="007D2191"/>
    <w:rsid w:val="007D7419"/>
    <w:rsid w:val="007E19FA"/>
    <w:rsid w:val="007E531D"/>
    <w:rsid w:val="007F4064"/>
    <w:rsid w:val="007F4F83"/>
    <w:rsid w:val="007F54EE"/>
    <w:rsid w:val="0080289F"/>
    <w:rsid w:val="00803E40"/>
    <w:rsid w:val="008360A5"/>
    <w:rsid w:val="0084038A"/>
    <w:rsid w:val="0085099A"/>
    <w:rsid w:val="00863653"/>
    <w:rsid w:val="008712DF"/>
    <w:rsid w:val="00872E00"/>
    <w:rsid w:val="008747E6"/>
    <w:rsid w:val="008830A9"/>
    <w:rsid w:val="00897F69"/>
    <w:rsid w:val="008A0B17"/>
    <w:rsid w:val="008B362F"/>
    <w:rsid w:val="008B62F9"/>
    <w:rsid w:val="008C365F"/>
    <w:rsid w:val="008C7067"/>
    <w:rsid w:val="008C7DE7"/>
    <w:rsid w:val="008D7098"/>
    <w:rsid w:val="008E12BF"/>
    <w:rsid w:val="008F2638"/>
    <w:rsid w:val="008F7173"/>
    <w:rsid w:val="00913E62"/>
    <w:rsid w:val="00914F6E"/>
    <w:rsid w:val="009157D7"/>
    <w:rsid w:val="00922EE2"/>
    <w:rsid w:val="00925157"/>
    <w:rsid w:val="00935B52"/>
    <w:rsid w:val="00945221"/>
    <w:rsid w:val="009456EB"/>
    <w:rsid w:val="00945ACC"/>
    <w:rsid w:val="009465D2"/>
    <w:rsid w:val="009502EB"/>
    <w:rsid w:val="00961375"/>
    <w:rsid w:val="009622E6"/>
    <w:rsid w:val="009661A7"/>
    <w:rsid w:val="0097425E"/>
    <w:rsid w:val="0097794D"/>
    <w:rsid w:val="0098329D"/>
    <w:rsid w:val="009A1874"/>
    <w:rsid w:val="009A280A"/>
    <w:rsid w:val="009C0C12"/>
    <w:rsid w:val="009C4F76"/>
    <w:rsid w:val="009D1F28"/>
    <w:rsid w:val="009D2526"/>
    <w:rsid w:val="009D558D"/>
    <w:rsid w:val="009F5067"/>
    <w:rsid w:val="009F5210"/>
    <w:rsid w:val="009F5603"/>
    <w:rsid w:val="009F7F29"/>
    <w:rsid w:val="00A0080A"/>
    <w:rsid w:val="00A050E6"/>
    <w:rsid w:val="00A0764F"/>
    <w:rsid w:val="00A13AF2"/>
    <w:rsid w:val="00A2178A"/>
    <w:rsid w:val="00A22BA7"/>
    <w:rsid w:val="00A26D36"/>
    <w:rsid w:val="00A27928"/>
    <w:rsid w:val="00A27C4F"/>
    <w:rsid w:val="00A3252D"/>
    <w:rsid w:val="00A351FF"/>
    <w:rsid w:val="00A45BB8"/>
    <w:rsid w:val="00A46372"/>
    <w:rsid w:val="00A70013"/>
    <w:rsid w:val="00A712B0"/>
    <w:rsid w:val="00A9190C"/>
    <w:rsid w:val="00AA073B"/>
    <w:rsid w:val="00AB7C30"/>
    <w:rsid w:val="00AC2DDF"/>
    <w:rsid w:val="00AE6B4B"/>
    <w:rsid w:val="00AF0CD3"/>
    <w:rsid w:val="00AF64C1"/>
    <w:rsid w:val="00B03BF4"/>
    <w:rsid w:val="00B20640"/>
    <w:rsid w:val="00B25D86"/>
    <w:rsid w:val="00B33B2B"/>
    <w:rsid w:val="00B51826"/>
    <w:rsid w:val="00B51D15"/>
    <w:rsid w:val="00B60BE0"/>
    <w:rsid w:val="00B63280"/>
    <w:rsid w:val="00B71CDF"/>
    <w:rsid w:val="00B746EB"/>
    <w:rsid w:val="00B85EF3"/>
    <w:rsid w:val="00B91801"/>
    <w:rsid w:val="00BA5A72"/>
    <w:rsid w:val="00BC023D"/>
    <w:rsid w:val="00BC7EB5"/>
    <w:rsid w:val="00BD0786"/>
    <w:rsid w:val="00BD251C"/>
    <w:rsid w:val="00BE0B63"/>
    <w:rsid w:val="00BE561E"/>
    <w:rsid w:val="00BE66DF"/>
    <w:rsid w:val="00BF6AC5"/>
    <w:rsid w:val="00C00D46"/>
    <w:rsid w:val="00C04B10"/>
    <w:rsid w:val="00C04E17"/>
    <w:rsid w:val="00C071C0"/>
    <w:rsid w:val="00C16022"/>
    <w:rsid w:val="00C246F3"/>
    <w:rsid w:val="00C45E82"/>
    <w:rsid w:val="00C47472"/>
    <w:rsid w:val="00C60C13"/>
    <w:rsid w:val="00C66C17"/>
    <w:rsid w:val="00C77C3E"/>
    <w:rsid w:val="00C8089F"/>
    <w:rsid w:val="00C80C1E"/>
    <w:rsid w:val="00C82202"/>
    <w:rsid w:val="00C8387C"/>
    <w:rsid w:val="00C945C6"/>
    <w:rsid w:val="00CA7750"/>
    <w:rsid w:val="00CB2200"/>
    <w:rsid w:val="00CB70D4"/>
    <w:rsid w:val="00CD0D08"/>
    <w:rsid w:val="00CE2098"/>
    <w:rsid w:val="00CF464E"/>
    <w:rsid w:val="00D046BD"/>
    <w:rsid w:val="00D22DE8"/>
    <w:rsid w:val="00D24784"/>
    <w:rsid w:val="00D312AD"/>
    <w:rsid w:val="00D32B5C"/>
    <w:rsid w:val="00D433F1"/>
    <w:rsid w:val="00D46274"/>
    <w:rsid w:val="00D514AE"/>
    <w:rsid w:val="00D5239D"/>
    <w:rsid w:val="00D55B59"/>
    <w:rsid w:val="00D60383"/>
    <w:rsid w:val="00D61E2C"/>
    <w:rsid w:val="00D7097E"/>
    <w:rsid w:val="00D70D7E"/>
    <w:rsid w:val="00D70ECE"/>
    <w:rsid w:val="00D72F3E"/>
    <w:rsid w:val="00D76733"/>
    <w:rsid w:val="00D85CF1"/>
    <w:rsid w:val="00DA3350"/>
    <w:rsid w:val="00DA58A9"/>
    <w:rsid w:val="00DC3172"/>
    <w:rsid w:val="00DD0671"/>
    <w:rsid w:val="00DD4EF2"/>
    <w:rsid w:val="00DD6D9F"/>
    <w:rsid w:val="00E02020"/>
    <w:rsid w:val="00E033D8"/>
    <w:rsid w:val="00E040B8"/>
    <w:rsid w:val="00E30875"/>
    <w:rsid w:val="00E31CFF"/>
    <w:rsid w:val="00E37619"/>
    <w:rsid w:val="00E4048A"/>
    <w:rsid w:val="00E40746"/>
    <w:rsid w:val="00E45179"/>
    <w:rsid w:val="00E52CAA"/>
    <w:rsid w:val="00E63B2D"/>
    <w:rsid w:val="00E66464"/>
    <w:rsid w:val="00E726D9"/>
    <w:rsid w:val="00E72A2B"/>
    <w:rsid w:val="00E76F2D"/>
    <w:rsid w:val="00E835C9"/>
    <w:rsid w:val="00E942B3"/>
    <w:rsid w:val="00E9458B"/>
    <w:rsid w:val="00E9568F"/>
    <w:rsid w:val="00EB05E2"/>
    <w:rsid w:val="00EE1520"/>
    <w:rsid w:val="00EE6E47"/>
    <w:rsid w:val="00F26735"/>
    <w:rsid w:val="00F30879"/>
    <w:rsid w:val="00F327E5"/>
    <w:rsid w:val="00F416CE"/>
    <w:rsid w:val="00F55547"/>
    <w:rsid w:val="00F569FF"/>
    <w:rsid w:val="00F57D19"/>
    <w:rsid w:val="00F80CCC"/>
    <w:rsid w:val="00F82215"/>
    <w:rsid w:val="00FB0878"/>
    <w:rsid w:val="00FB088F"/>
    <w:rsid w:val="00FB660F"/>
    <w:rsid w:val="00FB69B3"/>
    <w:rsid w:val="00FC0876"/>
    <w:rsid w:val="00FC7732"/>
    <w:rsid w:val="00FC7FB4"/>
    <w:rsid w:val="00FD4809"/>
    <w:rsid w:val="00FE077C"/>
    <w:rsid w:val="00FE28D7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D70ECE"/>
    <w:pPr>
      <w:ind w:left="708" w:firstLine="0"/>
    </w:pPr>
    <w:rPr>
      <w:rFonts w:ascii="Times New Roman" w:eastAsia="Calibri" w:hAnsi="Times New Roman"/>
      <w:sz w:val="20"/>
      <w:szCs w:val="20"/>
      <w:lang w:val="pl-PL" w:eastAsia="pl-PL"/>
    </w:rPr>
  </w:style>
  <w:style w:type="character" w:styleId="Hipercze">
    <w:name w:val="Hyperlink"/>
    <w:basedOn w:val="Domylnaczcionkaakapitu"/>
    <w:unhideWhenUsed/>
    <w:rsid w:val="004124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D70ECE"/>
    <w:pPr>
      <w:ind w:left="708" w:firstLine="0"/>
    </w:pPr>
    <w:rPr>
      <w:rFonts w:ascii="Times New Roman" w:eastAsia="Calibri" w:hAnsi="Times New Roman"/>
      <w:sz w:val="20"/>
      <w:szCs w:val="20"/>
      <w:lang w:val="pl-PL" w:eastAsia="pl-PL"/>
    </w:rPr>
  </w:style>
  <w:style w:type="character" w:styleId="Hipercze">
    <w:name w:val="Hyperlink"/>
    <w:basedOn w:val="Domylnaczcionkaakapitu"/>
    <w:unhideWhenUsed/>
    <w:rsid w:val="0041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ecka\Documents\wzory%20dokument&#243;w\szablon_formularza_ofert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BD41-BA36-468C-AC8D-4FF82AD4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szablon_formularza_oferty</Template>
  <TotalTime>518</TotalTime>
  <Pages>4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Komarów-Osada</dc:creator>
  <cp:lastModifiedBy>pok13s3</cp:lastModifiedBy>
  <cp:revision>13</cp:revision>
  <cp:lastPrinted>2021-08-20T08:50:00Z</cp:lastPrinted>
  <dcterms:created xsi:type="dcterms:W3CDTF">2021-07-15T09:04:00Z</dcterms:created>
  <dcterms:modified xsi:type="dcterms:W3CDTF">2022-07-25T12:22:00Z</dcterms:modified>
</cp:coreProperties>
</file>